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p>
      <w:pPr>
        <w:pStyle w:val="TextBody"/>
        <w:bidi w:val="0"/>
        <w:spacing w:lineRule="auto" w:line="288" w:before="80" w:after="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6"/>
        </w:rPr>
        <w:t>____________________________________________________________________</w:t>
      </w:r>
    </w:p>
    <w:p>
      <w:pPr>
        <w:pStyle w:val="TextBody"/>
        <w:bidi w:val="0"/>
        <w:spacing w:lineRule="auto" w:line="288" w:before="18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27, 2026</w:t>
      </w:r>
    </w:p>
    <w:p>
      <w:pPr>
        <w:pStyle w:val="TextBody"/>
        <w:bidi w:val="0"/>
        <w:spacing w:lineRule="auto" w:line="288" w:before="24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p>
      <w:pPr>
        <w:pStyle w:val="TextBody"/>
        <w:bidi w:val="0"/>
        <w:spacing w:lineRule="auto" w:line="288" w:before="80" w:after="283"/>
        <w:jc w:val="center"/>
        <w:rPr/>
      </w:pPr>
      <w:r>
        <w:rPr>
          <w:color w:val="000000"/>
        </w:rPr>
        <w:t> </w:t>
      </w:r>
      <w:r>
        <w:rPr>
          <w:rFonts w:ascii="Times New Roman;serif" w:hAnsi="Times New Roman;serif"/>
          <w:b/>
          <w:color w:val="000000"/>
          <w:sz w:val="48"/>
        </w:rPr>
        <w:t>Applied Materials,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000-06920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94-1655526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3050 Bowers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 Box 58039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 95052-8039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727-5555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240" w:after="283"/>
        <w:jc w:val="left"/>
        <w:rPr/>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29" w:type="dxa"/>
        <w:jc w:val="left"/>
        <w:tblInd w:w="0" w:type="dxa"/>
        <w:tblLayout w:type="fixed"/>
        <w:tblCellMar>
          <w:top w:w="28" w:type="dxa"/>
          <w:left w:w="28" w:type="dxa"/>
          <w:bottom w:w="28" w:type="dxa"/>
          <w:right w:w="28" w:type="dxa"/>
        </w:tblCellMar>
      </w:tblPr>
      <w:tblGrid>
        <w:gridCol w:w="1223"/>
        <w:gridCol w:w="1080"/>
        <w:gridCol w:w="1087"/>
        <w:gridCol w:w="424"/>
        <w:gridCol w:w="424"/>
        <w:gridCol w:w="426"/>
        <w:gridCol w:w="1014"/>
        <w:gridCol w:w="1014"/>
        <w:gridCol w:w="1437"/>
      </w:tblGrid>
      <w:tr>
        <w:trPr/>
        <w:tc>
          <w:tcPr>
            <w:tcW w:w="122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AMAT</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120"/>
        <w:jc w:val="left"/>
        <w:rPr/>
      </w:pPr>
      <w:r>
        <w:rPr>
          <w:rFonts w:ascii="Times New Roman;serif" w:hAnsi="Times New Roman;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On August 27, 2026, the Board of Directors (the “Board”) of Applied Materials, Inc. (“Applied” or the “Company”) elected </w:t>
      </w:r>
      <w:r>
        <w:rPr>
          <w:rFonts w:ascii="Times New Roman;serif" w:hAnsi="Times New Roman;serif"/>
          <w:b w:val="false"/>
          <w:color w:val="000000"/>
          <w:sz w:val="24"/>
        </w:rPr>
        <w:t xml:space="preserve">Akash Palkhiwala </w:t>
      </w:r>
      <w:r>
        <w:rPr>
          <w:rFonts w:ascii="Times New Roman;serif" w:hAnsi="Times New Roman;serif"/>
          <w:b w:val="false"/>
          <w:color w:val="000000"/>
          <w:sz w:val="22"/>
        </w:rPr>
        <w:t>to the Board and the Board’s Audit Committee, effective immediately.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Mr. Palkhiwala will receive the standard compensation payable to non-employee directors of the Board, consisting of (1) an annual retainer of $100,000 (prorated based on his service during the fiscal year), (2) an additional annual retainer of $25,000 for his service on the Audit Committee (prorated based on his service during the fiscal year) and (3) an automatic grant of a number of restricted stock units equal to $250,000, divided by the market value of Applied common stock on the date of his appointment, and prorated based on the period beginning on the date of Mr. Palkhiwala’s appointment and ending on the scheduled date of the Company’s 2027 Annual Meeting of Shareholders. The restricted stock units are scheduled to vest in full on March 1, 2027, subject to Mr. Palkhiwala’s continued service as a director through that date.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Mr. </w:t>
      </w:r>
      <w:r>
        <w:rPr>
          <w:rFonts w:ascii="Times New Roman;serif" w:hAnsi="Times New Roman;serif"/>
          <w:b w:val="false"/>
          <w:color w:val="000000"/>
          <w:sz w:val="24"/>
        </w:rPr>
        <w:t xml:space="preserve">Palkhiwala </w:t>
      </w:r>
      <w:r>
        <w:rPr>
          <w:rFonts w:ascii="Times New Roman;serif" w:hAnsi="Times New Roman;serif"/>
          <w:b w:val="false"/>
          <w:color w:val="000000"/>
          <w:sz w:val="22"/>
        </w:rPr>
        <w:t xml:space="preserve">will enter into the Company’s standard form of directors’ indemnification agreement with Applied, pursuant to which the Company agrees to indemnify its directors to the fullest extent permitted by applicable law and subject to certain conditions to advance expenses in connection with proceedings as described in the indemnification agreement.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There are no arrangements or understandings between Mr. </w:t>
      </w:r>
      <w:r>
        <w:rPr>
          <w:rFonts w:ascii="Times New Roman;serif" w:hAnsi="Times New Roman;serif"/>
          <w:b w:val="false"/>
          <w:color w:val="000000"/>
          <w:sz w:val="24"/>
        </w:rPr>
        <w:t xml:space="preserve">Palkhiwala </w:t>
      </w:r>
      <w:r>
        <w:rPr>
          <w:rFonts w:ascii="Times New Roman;serif" w:hAnsi="Times New Roman;serif"/>
          <w:b w:val="false"/>
          <w:color w:val="000000"/>
          <w:sz w:val="22"/>
        </w:rPr>
        <w:t xml:space="preserve">and any other persons pursuant to which he was elected as a director. Mr. </w:t>
      </w:r>
      <w:r>
        <w:rPr>
          <w:rFonts w:ascii="Times New Roman;serif" w:hAnsi="Times New Roman;serif"/>
          <w:b w:val="false"/>
          <w:color w:val="000000"/>
          <w:sz w:val="24"/>
        </w:rPr>
        <w:t xml:space="preserve">Palkhiwala </w:t>
      </w:r>
      <w:r>
        <w:rPr>
          <w:rFonts w:ascii="Times New Roman;serif" w:hAnsi="Times New Roman;serif"/>
          <w:b w:val="false"/>
          <w:color w:val="000000"/>
          <w:sz w:val="22"/>
        </w:rPr>
        <w:t>has no direct or indirect material interest in any transaction required to be disclosed pursuant to Item 404(a) of Regulation S-K.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Applied’s press release, dated August 27, 2026, announcing the election of Mr. </w:t>
      </w:r>
      <w:r>
        <w:rPr>
          <w:rFonts w:ascii="Times New Roman;serif" w:hAnsi="Times New Roman;serif"/>
          <w:b w:val="false"/>
          <w:color w:val="000000"/>
          <w:sz w:val="24"/>
        </w:rPr>
        <w:t xml:space="preserve">Palkhiwala </w:t>
      </w:r>
      <w:r>
        <w:rPr>
          <w:rFonts w:ascii="Times New Roman;serif" w:hAnsi="Times New Roman;serif"/>
          <w:b w:val="false"/>
          <w:color w:val="000000"/>
          <w:sz w:val="22"/>
        </w:rPr>
        <w:t>to the Board is attached hereto as Exhibit 99.1.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in this Item 7.01 and Exhibit 99.1 is being furnished and shall not be deemed “filed” for purposes of Section 18 of the Securities Exchange Act of 1934, as amended (the “Exchange Act”), or otherwise subject to liability under that section, and shall not be deemed to be incorporated by reference in any filing of Applied under the Securities Act of 1933, as amended, or the Exchange Act, unless expressly incorporated by specific reference in such filing.</w:t>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8351" w:type="dxa"/>
        <w:jc w:val="left"/>
        <w:tblInd w:w="0" w:type="dxa"/>
        <w:tblLayout w:type="fixed"/>
        <w:tblCellMar>
          <w:top w:w="28" w:type="dxa"/>
          <w:left w:w="28" w:type="dxa"/>
          <w:bottom w:w="28" w:type="dxa"/>
          <w:right w:w="28" w:type="dxa"/>
        </w:tblCellMar>
      </w:tblPr>
      <w:tblGrid>
        <w:gridCol w:w="434"/>
        <w:gridCol w:w="381"/>
        <w:gridCol w:w="384"/>
        <w:gridCol w:w="109"/>
        <w:gridCol w:w="109"/>
        <w:gridCol w:w="109"/>
        <w:gridCol w:w="1996"/>
        <w:gridCol w:w="1996"/>
        <w:gridCol w:w="2833"/>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991pr.htm">
              <w:r>
                <w:rPr>
                  <w:rStyle w:val="InternetLink"/>
                  <w:rFonts w:ascii="Times New Roman;serif" w:hAnsi="Times New Roman;serif"/>
                  <w:b w:val="false"/>
                  <w:color w:val="0000FF"/>
                  <w:sz w:val="22"/>
                  <w:u w:val="single"/>
                </w:rPr>
                <w:t>Press Release issued by Applied Materials, Inc., dated August 27, 2026</w:t>
              </w:r>
            </w:hyperlink>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w:t>
            </w:r>
          </w:p>
        </w:tc>
      </w:tr>
    </w:tbl>
    <w:p>
      <w:pPr>
        <w:pStyle w:val="TextBody"/>
        <w:bidi w:val="0"/>
        <w:spacing w:lineRule="auto" w:line="288" w:before="0" w:after="0"/>
        <w:jc w:val="center"/>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54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7156" w:type="dxa"/>
        <w:jc w:val="left"/>
        <w:tblInd w:w="0" w:type="dxa"/>
        <w:tblLayout w:type="fixed"/>
        <w:tblCellMar>
          <w:top w:w="28" w:type="dxa"/>
          <w:left w:w="28" w:type="dxa"/>
          <w:bottom w:w="28" w:type="dxa"/>
          <w:right w:w="28" w:type="dxa"/>
        </w:tblCellMar>
      </w:tblPr>
      <w:tblGrid>
        <w:gridCol w:w="222"/>
        <w:gridCol w:w="196"/>
        <w:gridCol w:w="197"/>
        <w:gridCol w:w="559"/>
        <w:gridCol w:w="559"/>
        <w:gridCol w:w="561"/>
        <w:gridCol w:w="242"/>
        <w:gridCol w:w="242"/>
        <w:gridCol w:w="242"/>
        <w:gridCol w:w="639"/>
        <w:gridCol w:w="639"/>
        <w:gridCol w:w="639"/>
        <w:gridCol w:w="639"/>
        <w:gridCol w:w="639"/>
        <w:gridCol w:w="941"/>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2" w:type="dxa"/>
            <w:gridSpan w:val="9"/>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2"/>
              </w:rPr>
              <w:br/>
            </w:r>
            <w:r>
              <w:rPr>
                <w:rFonts w:ascii="Times New Roman;serif" w:hAnsi="Times New Roman;serif"/>
                <w:b w:val="false"/>
                <w:color w:val="000000"/>
                <w:sz w:val="22"/>
              </w:rPr>
              <w:t>Applied Materials, Inc.</w:t>
              <w:br/>
              <w:t> (Registrant)</w:t>
              <w:br/>
              <w:t>  </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27, 2026</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13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Teri A. Little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Teri A. Little</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2"/>
              </w:rPr>
            </w:pPr>
            <w:r>
              <w:rPr>
                <w:rFonts w:ascii="Times New Roman;serif" w:hAnsi="Times New Roman;serif"/>
                <w:b w:val="false"/>
                <w:i/>
                <w:color w:val="000000"/>
                <w:sz w:val="22"/>
              </w:rPr>
              <w:t xml:space="preserve">Senior Vice President, Chief Legal Officer </w:t>
              <w:br/>
              <w:t>and Corporate Secretary</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33525"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33525" cy="723900"/>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2"/>
        </w:rPr>
      </w:pPr>
      <w:r>
        <w:rPr>
          <w:rFonts w:ascii="Arial;sans-serif" w:hAnsi="Arial;sans-serif"/>
          <w:b/>
          <w:color w:val="000000"/>
          <w:sz w:val="22"/>
        </w:rPr>
        <w:t>Applied Materials Appoints Akash Palkhiwala to Board of Directors</w:t>
      </w:r>
    </w:p>
    <w:p>
      <w:pPr>
        <w:pStyle w:val="TextBody"/>
        <w:bidi w:val="0"/>
        <w:spacing w:lineRule="auto" w:line="276" w:before="0" w:after="0"/>
        <w:jc w:val="center"/>
        <w:rPr>
          <w:color w:val="000000"/>
        </w:rPr>
      </w:pPr>
      <w:r>
        <w:rPr>
          <w:color w:val="000000"/>
        </w:rPr>
        <w:t>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SANTA CLARA, Calif., Aug. 27, 2026 – Applied Materials, Inc. today announced the appointment of Akash Palkhiwala to serve on its board of directors. As Chief Financial Officer and Chief Operating Officer of Qualcomm Incorporated, Mr. Palkhiwala brings extensive financial and operational leadership experience in the computing and technology industry. Mr. Palkhiwala has also been appointed to the board’s Audit Committee.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Akash is a terrific addition to our board of directors,” said Tom Iannotti, Chairman of the Board. “His track record of leadership in finance and decades of experience in the semiconductor industry will add to the strength of Applied Materials’ board and serve us well in our next phase of growth.”</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Mr. Palkhiwala has served as Qualcomm’s CFO since 2019 and COO since 2024 and is responsible for the finance organization, global go-to-market teams, semiconductor operations and IT. He has also served in various finance leadership roles since joining Qualcomm in 2001. Previously, Mr. Palkhiwala was a private equity analyst at KeyBank.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Mr. Palkhiwala holds an undergraduate degree in mechanical engineering from L.D. College of Engineering in India and an MBA from the University of Maryland.</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Applied Materials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Applied Materials, Inc. (Nasdaq: AMAT) is the leader in materials engineering solutions that are at the foundation of virtually every new semiconductor and advanced display in the world. The technology we create is essential to advancing AI and accelerating the commercialization of next-generation chips. At Applied, we push the boundaries of science and engineering to deliver material innovation that changes the world. Learn more at www.appliedmaterials.com.</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Ricky Gradwohl (editorial/media) 408.235.4676</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Mike Sullivan (financial community) 408.986.7977 </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13360"/>
                <wp:effectExtent l="0" t="0" r="0" b="0"/>
                <wp:wrapNone/>
                <wp:docPr id="5" name="Frame4"/>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1066</Words>
  <Characters>6151</Characters>
  <CharactersWithSpaces>7157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