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8"/>
        </w:rPr>
        <w:t>QUARTERLY REPORT PURSUANT TO SECTION 13 OR 15(d) OF THE SECURITIES EXCHANGE ACT OF 1934</w:t>
      </w:r>
    </w:p>
    <w:p>
      <w:pPr>
        <w:pStyle w:val="TextBody"/>
        <w:bidi w:val="0"/>
        <w:spacing w:lineRule="auto" w:line="288" w:before="100" w:after="283"/>
        <w:ind w:left="0" w:right="0" w:firstLine="162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July 26, 2026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8"/>
        </w:rPr>
        <w:t>TRANSITION REPORT PURSUANT TO SECTION 13 OR 15(d) OF THE SECURITIES EXCHANGE ACT OF 1934</w:t>
      </w:r>
    </w:p>
    <w:p>
      <w:pPr>
        <w:pStyle w:val="TextBody"/>
        <w:bidi w:val="0"/>
        <w:spacing w:lineRule="auto" w:line="288" w:before="100" w:after="283"/>
        <w:ind w:left="0" w:right="0" w:firstLine="1620"/>
        <w:jc w:val="left"/>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000-06920</w:t>
      </w:r>
    </w:p>
    <w:p>
      <w:pPr>
        <w:pStyle w:val="TextBody"/>
        <w:bidi w:val="0"/>
        <w:spacing w:before="60" w:after="283"/>
        <w:jc w:val="center"/>
        <w:rPr/>
      </w:pPr>
      <w:r>
        <w:rPr/>
        <w:drawing>
          <wp:inline distT="0" distB="0" distL="0" distR="0">
            <wp:extent cx="19145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609600"/>
                    </a:xfrm>
                    <a:prstGeom prst="rect">
                      <a:avLst/>
                    </a:prstGeom>
                  </pic:spPr>
                </pic:pic>
              </a:graphicData>
            </a:graphic>
          </wp:inline>
        </w:drawing>
      </w:r>
      <w:bookmarkStart w:id="0" w:name="i-1"/>
      <w:bookmarkEnd w:id="0"/>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Applied Materials, Inc. </w:t>
      </w:r>
    </w:p>
    <w:p>
      <w:pPr>
        <w:pStyle w:val="TextBody"/>
        <w:bidi w:val="0"/>
        <w:spacing w:lineRule="auto" w:line="288" w:before="40" w:after="283"/>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123" w:type="dxa"/>
        <w:jc w:val="center"/>
        <w:tblInd w:w="0" w:type="dxa"/>
        <w:tblLayout w:type="fixed"/>
        <w:tblCellMar>
          <w:top w:w="28" w:type="dxa"/>
          <w:left w:w="28" w:type="dxa"/>
          <w:bottom w:w="28" w:type="dxa"/>
          <w:right w:w="28" w:type="dxa"/>
        </w:tblCellMar>
      </w:tblPr>
      <w:tblGrid>
        <w:gridCol w:w="553"/>
        <w:gridCol w:w="485"/>
        <w:gridCol w:w="485"/>
        <w:gridCol w:w="485"/>
        <w:gridCol w:w="485"/>
        <w:gridCol w:w="485"/>
        <w:gridCol w:w="485"/>
        <w:gridCol w:w="485"/>
        <w:gridCol w:w="505"/>
        <w:gridCol w:w="780"/>
        <w:gridCol w:w="780"/>
        <w:gridCol w:w="1110"/>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94-1655526</w:t>
            </w:r>
          </w:p>
        </w:tc>
      </w:tr>
      <w:tr>
        <w:trPr/>
        <w:tc>
          <w:tcPr>
            <w:tcW w:w="4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r>
        <w:trPr/>
        <w:tc>
          <w:tcPr>
            <w:tcW w:w="44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3050 Bowers Avenue, P.O. Box 58039, Santa Clara, California 95052-8039 </w:t>
      </w:r>
    </w:p>
    <w:p>
      <w:pPr>
        <w:pStyle w:val="TextBody"/>
        <w:bidi w:val="0"/>
        <w:spacing w:lineRule="auto" w:line="288" w:before="0" w:after="0"/>
        <w:jc w:val="left"/>
        <w:rPr/>
      </w:pPr>
      <w:r>
        <w:rPr>
          <w:rFonts w:ascii="Times New Roman;serif" w:hAnsi="Times New Roman;serif"/>
          <w:b w:val="false"/>
          <w:i/>
          <w:color w:val="000000"/>
          <w:sz w:val="18"/>
        </w:rPr>
        <w:t>(Address of principal executive offices) (Zip Code</w:t>
      </w:r>
      <w:r>
        <w:rPr>
          <w:rFonts w:ascii="Times New Roman;serif" w:hAnsi="Times New Roman;serif"/>
          <w:b w:val="false"/>
          <w:i/>
          <w:color w:val="000000"/>
          <w:sz w:val="16"/>
        </w:rPr>
        <w: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Registrant’s telephone number, including area code:</w:t>
      </w:r>
      <w:r>
        <w:rPr>
          <w:color w:val="000000"/>
        </w:rPr>
        <w:t xml:space="preserve"> </w:t>
      </w:r>
      <w:r>
        <w:rPr>
          <w:rFonts w:ascii="Times New Roman;serif" w:hAnsi="Times New Roman;serif"/>
          <w:b/>
          <w:color w:val="000000"/>
          <w:sz w:val="20"/>
        </w:rPr>
        <w:t xml:space="preserve">(408) 727-5555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28" w:type="dxa"/>
        <w:jc w:val="center"/>
        <w:tblInd w:w="0" w:type="dxa"/>
        <w:tblLayout w:type="fixed"/>
        <w:tblCellMar>
          <w:top w:w="28" w:type="dxa"/>
          <w:left w:w="28" w:type="dxa"/>
          <w:bottom w:w="28" w:type="dxa"/>
          <w:right w:w="28" w:type="dxa"/>
        </w:tblCellMar>
      </w:tblPr>
      <w:tblGrid>
        <w:gridCol w:w="1228"/>
        <w:gridCol w:w="1078"/>
        <w:gridCol w:w="1084"/>
        <w:gridCol w:w="454"/>
        <w:gridCol w:w="454"/>
        <w:gridCol w:w="456"/>
        <w:gridCol w:w="1074"/>
        <w:gridCol w:w="1074"/>
        <w:gridCol w:w="1526"/>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AMAT</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510"/>
        <w:gridCol w:w="448"/>
        <w:gridCol w:w="449"/>
        <w:gridCol w:w="130"/>
        <w:gridCol w:w="130"/>
        <w:gridCol w:w="130"/>
        <w:gridCol w:w="426"/>
        <w:gridCol w:w="426"/>
        <w:gridCol w:w="428"/>
        <w:gridCol w:w="130"/>
        <w:gridCol w:w="130"/>
        <w:gridCol w:w="130"/>
        <w:gridCol w:w="545"/>
        <w:gridCol w:w="545"/>
        <w:gridCol w:w="547"/>
        <w:gridCol w:w="130"/>
        <w:gridCol w:w="130"/>
        <w:gridCol w:w="130"/>
        <w:gridCol w:w="809"/>
        <w:gridCol w:w="809"/>
        <w:gridCol w:w="810"/>
        <w:gridCol w:w="130"/>
        <w:gridCol w:w="130"/>
        <w:gridCol w:w="130"/>
        <w:gridCol w:w="501"/>
        <w:gridCol w:w="501"/>
        <w:gridCol w:w="503"/>
        <w:gridCol w:w="109"/>
        <w:gridCol w:w="109"/>
        <w:gridCol w:w="170"/>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 </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17"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c>
        <w:tc>
          <w:tcPr>
            <w:tcW w:w="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Number of shares outstanding of the issuer’s common stock as of July 26, 2026: 793,597,443</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FORM 10-Q FOR THE QUARTERLY PERIOD ENDED JULY 26, 2026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
        <w:gridCol w:w="258"/>
        <w:gridCol w:w="260"/>
        <w:gridCol w:w="2959"/>
        <w:gridCol w:w="2959"/>
        <w:gridCol w:w="2964"/>
        <w:gridCol w:w="149"/>
        <w:gridCol w:w="149"/>
        <w:gridCol w:w="215"/>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3">
              <w:r>
                <w:rPr>
                  <w:rStyle w:val="InternetLink"/>
                  <w:rFonts w:ascii="Times New Roman;serif" w:hAnsi="Times New Roman;serif"/>
                  <w:b w:val="false"/>
                  <w:color w:val="0000FF"/>
                  <w:sz w:val="20"/>
                  <w:u w:val="single"/>
                </w:rPr>
                <w:t>Financial Statements (Unaudited)</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3">
              <w:r>
                <w:rPr>
                  <w:rStyle w:val="InternetLink"/>
                  <w:rFonts w:ascii="Times New Roman;serif" w:hAnsi="Times New Roman;serif"/>
                  <w:b w:val="false"/>
                  <w:color w:val="0000FF"/>
                  <w:sz w:val="20"/>
                  <w:u w:val="single"/>
                </w:rPr>
                <w:t>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6">
              <w:r>
                <w:rPr>
                  <w:rStyle w:val="InternetLink"/>
                  <w:rFonts w:ascii="Times New Roman;serif" w:hAnsi="Times New Roman;serif"/>
                  <w:b w:val="false"/>
                  <w:color w:val="000080"/>
                  <w:sz w:val="20"/>
                  <w:u w:val="single"/>
                </w:rPr>
                <w:t xml:space="preserve">Consolidated Condensed Statements of Operations for the Three and </w:t>
              </w:r>
            </w:hyperlink>
            <w:hyperlink w:anchor="i8eb957240b034c6db2a10fd4a9057d2f_16">
              <w:r>
                <w:rPr>
                  <w:rStyle w:val="InternetLink"/>
                  <w:rFonts w:ascii="Times New Roman;serif" w:hAnsi="Times New Roman;serif"/>
                  <w:b w:val="false"/>
                  <w:color w:val="000080"/>
                  <w:sz w:val="20"/>
                  <w:u w:val="single"/>
                </w:rPr>
                <w:t>Nine</w:t>
              </w:r>
            </w:hyperlink>
            <w:hyperlink w:anchor="i8eb957240b034c6db2a10fd4a9057d2f_16">
              <w:r>
                <w:rPr>
                  <w:rStyle w:val="InternetLink"/>
                  <w:rFonts w:ascii="Times New Roman;serif" w:hAnsi="Times New Roman;serif"/>
                  <w:b w:val="false"/>
                  <w:color w:val="000080"/>
                  <w:sz w:val="20"/>
                  <w:u w:val="single"/>
                </w:rPr>
                <w:t xml:space="preserve"> Months Ended </w:t>
              </w:r>
            </w:hyperlink>
            <w:hyperlink w:anchor="i8eb957240b034c6db2a10fd4a9057d2f_16">
              <w:r>
                <w:rPr>
                  <w:rStyle w:val="InternetLink"/>
                  <w:rFonts w:ascii="Times New Roman;serif" w:hAnsi="Times New Roman;serif"/>
                  <w:b w:val="false"/>
                  <w:color w:val="000080"/>
                  <w:sz w:val="20"/>
                  <w:u w:val="single"/>
                </w:rPr>
                <w:t>July</w:t>
              </w:r>
            </w:hyperlink>
            <w:hyperlink w:anchor="i8eb957240b034c6db2a10fd4a9057d2f_16">
              <w:r>
                <w:rPr>
                  <w:rStyle w:val="InternetLink"/>
                  <w:rFonts w:ascii="Times New Roman;serif" w:hAnsi="Times New Roman;serif"/>
                  <w:b w:val="false"/>
                  <w:color w:val="000080"/>
                  <w:sz w:val="20"/>
                  <w:u w:val="single"/>
                </w:rPr>
                <w:t xml:space="preserve"> 26, 2026 and </w:t>
              </w:r>
            </w:hyperlink>
            <w:r>
              <w:rPr>
                <w:rFonts w:ascii="Times New Roman;serif" w:hAnsi="Times New Roman;serif"/>
                <w:b w:val="false"/>
                <w:color w:val="0000FF"/>
                <w:sz w:val="20"/>
                <w:u w:val="single"/>
              </w:rPr>
              <w:t>July 27, 2025</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6">
              <w:r>
                <w:rPr>
                  <w:rStyle w:val="InternetLink"/>
                  <w:rFonts w:ascii="Times New Roman;serif" w:hAnsi="Times New Roman;serif"/>
                  <w:b w:val="false"/>
                  <w:color w:val="0000FF"/>
                  <w:sz w:val="20"/>
                  <w:u w:val="single"/>
                </w:rPr>
                <w:t>3</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C</w:t>
            </w:r>
            <w:hyperlink w:anchor="i8eb957240b034c6db2a10fd4a9057d2f_19">
              <w:r>
                <w:rPr>
                  <w:rStyle w:val="InternetLink"/>
                  <w:rFonts w:ascii="Times New Roman;serif" w:hAnsi="Times New Roman;serif"/>
                  <w:b w:val="false"/>
                  <w:color w:val="000080"/>
                  <w:sz w:val="20"/>
                  <w:u w:val="single"/>
                </w:rPr>
                <w:t xml:space="preserve">onsolidated Condensed Statements of Comprehensive Income for the Three and </w:t>
              </w:r>
            </w:hyperlink>
            <w:hyperlink w:anchor="i8eb957240b034c6db2a10fd4a9057d2f_19">
              <w:r>
                <w:rPr>
                  <w:rStyle w:val="InternetLink"/>
                  <w:rFonts w:ascii="Times New Roman;serif" w:hAnsi="Times New Roman;serif"/>
                  <w:b w:val="false"/>
                  <w:color w:val="000080"/>
                  <w:sz w:val="20"/>
                  <w:u w:val="single"/>
                </w:rPr>
                <w:t>Nine</w:t>
              </w:r>
            </w:hyperlink>
            <w:hyperlink w:anchor="i8eb957240b034c6db2a10fd4a9057d2f_19">
              <w:r>
                <w:rPr>
                  <w:rStyle w:val="InternetLink"/>
                  <w:rFonts w:ascii="Times New Roman;serif" w:hAnsi="Times New Roman;serif"/>
                  <w:b w:val="false"/>
                  <w:color w:val="000080"/>
                  <w:sz w:val="20"/>
                  <w:u w:val="single"/>
                </w:rPr>
                <w:t xml:space="preserve"> Months Ended </w:t>
              </w:r>
            </w:hyperlink>
            <w:hyperlink w:anchor="i8eb957240b034c6db2a10fd4a9057d2f_19">
              <w:r>
                <w:rPr>
                  <w:rStyle w:val="InternetLink"/>
                  <w:rFonts w:ascii="Times New Roman;serif" w:hAnsi="Times New Roman;serif"/>
                  <w:b w:val="false"/>
                  <w:color w:val="000080"/>
                  <w:sz w:val="20"/>
                  <w:u w:val="single"/>
                </w:rPr>
                <w:t>July</w:t>
              </w:r>
            </w:hyperlink>
            <w:hyperlink w:anchor="i8eb957240b034c6db2a10fd4a9057d2f_19">
              <w:r>
                <w:rPr>
                  <w:rStyle w:val="InternetLink"/>
                  <w:rFonts w:ascii="Times New Roman;serif" w:hAnsi="Times New Roman;serif"/>
                  <w:b w:val="false"/>
                  <w:color w:val="000080"/>
                  <w:sz w:val="20"/>
                  <w:u w:val="single"/>
                </w:rPr>
                <w:t xml:space="preserve"> 26, 2026 and </w:t>
              </w:r>
            </w:hyperlink>
            <w:hyperlink w:anchor="i8eb957240b034c6db2a10fd4a9057d2f_19">
              <w:r>
                <w:rPr>
                  <w:rStyle w:val="InternetLink"/>
                  <w:rFonts w:ascii="Times New Roman;serif" w:hAnsi="Times New Roman;serif"/>
                  <w:b w:val="false"/>
                  <w:color w:val="000080"/>
                  <w:sz w:val="20"/>
                  <w:u w:val="single"/>
                </w:rPr>
                <w:t>July</w:t>
              </w:r>
            </w:hyperlink>
            <w:hyperlink w:anchor="i8eb957240b034c6db2a10fd4a9057d2f_19">
              <w:r>
                <w:rPr>
                  <w:rStyle w:val="InternetLink"/>
                  <w:rFonts w:ascii="Times New Roman;serif" w:hAnsi="Times New Roman;serif"/>
                  <w:b w:val="false"/>
                  <w:color w:val="000080"/>
                  <w:sz w:val="20"/>
                  <w:u w:val="single"/>
                </w:rPr>
                <w:t xml:space="preserve"> 27, 2025</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9">
              <w:r>
                <w:rPr>
                  <w:rStyle w:val="InternetLink"/>
                  <w:rFonts w:ascii="Times New Roman;serif" w:hAnsi="Times New Roman;serif"/>
                  <w:b w:val="false"/>
                  <w:color w:val="0000FF"/>
                  <w:sz w:val="20"/>
                  <w:u w:val="single"/>
                </w:rPr>
                <w:t>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22">
              <w:r>
                <w:rPr>
                  <w:rStyle w:val="InternetLink"/>
                  <w:rFonts w:ascii="Times New Roman;serif" w:hAnsi="Times New Roman;serif"/>
                  <w:b w:val="false"/>
                  <w:color w:val="000080"/>
                  <w:sz w:val="20"/>
                  <w:u w:val="single"/>
                </w:rPr>
                <w:t xml:space="preserve">Consolidated Condensed Balance Sheets as of </w:t>
              </w:r>
            </w:hyperlink>
            <w:hyperlink w:anchor="i8eb957240b034c6db2a10fd4a9057d2f_22">
              <w:r>
                <w:rPr>
                  <w:rStyle w:val="InternetLink"/>
                  <w:rFonts w:ascii="Times New Roman;serif" w:hAnsi="Times New Roman;serif"/>
                  <w:b w:val="false"/>
                  <w:color w:val="000080"/>
                  <w:sz w:val="20"/>
                  <w:u w:val="single"/>
                </w:rPr>
                <w:t>July</w:t>
              </w:r>
            </w:hyperlink>
            <w:hyperlink w:anchor="i8eb957240b034c6db2a10fd4a9057d2f_22">
              <w:r>
                <w:rPr>
                  <w:rStyle w:val="InternetLink"/>
                  <w:rFonts w:ascii="Times New Roman;serif" w:hAnsi="Times New Roman;serif"/>
                  <w:b w:val="false"/>
                  <w:color w:val="000080"/>
                  <w:sz w:val="20"/>
                  <w:u w:val="single"/>
                </w:rPr>
                <w:t xml:space="preserve"> 26, 2026 and October 26, 20</w:t>
              </w:r>
            </w:hyperlink>
            <w:r>
              <w:rPr>
                <w:rFonts w:ascii="Times New Roman;serif" w:hAnsi="Times New Roman;serif"/>
                <w:b w:val="false"/>
                <w:color w:val="0000FF"/>
                <w:sz w:val="20"/>
                <w:u w:val="single"/>
              </w:rPr>
              <w:t>25</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22">
              <w:r>
                <w:rPr>
                  <w:rStyle w:val="InternetLink"/>
                  <w:rFonts w:ascii="Times New Roman;serif" w:hAnsi="Times New Roman;serif"/>
                  <w:b w:val="false"/>
                  <w:color w:val="0000FF"/>
                  <w:sz w:val="20"/>
                  <w:u w:val="single"/>
                </w:rPr>
                <w:t>5</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25">
              <w:r>
                <w:rPr>
                  <w:rStyle w:val="InternetLink"/>
                  <w:rFonts w:ascii="Times New Roman;serif" w:hAnsi="Times New Roman;serif"/>
                  <w:b w:val="false"/>
                  <w:color w:val="000080"/>
                  <w:sz w:val="20"/>
                  <w:u w:val="single"/>
                </w:rPr>
                <w:t>Consolidated Condensed Statements of Stockholders’ Equity for the Three and</w:t>
              </w:r>
            </w:hyperlink>
            <w:hyperlink w:anchor="i8eb957240b034c6db2a10fd4a9057d2f_25">
              <w:r>
                <w:rPr>
                  <w:rStyle w:val="InternetLink"/>
                  <w:rFonts w:ascii="Times New Roman;serif" w:hAnsi="Times New Roman;serif"/>
                  <w:b w:val="false"/>
                  <w:color w:val="000080"/>
                  <w:sz w:val="20"/>
                  <w:u w:val="single"/>
                </w:rPr>
                <w:t xml:space="preserve"> </w:t>
              </w:r>
            </w:hyperlink>
            <w:hyperlink w:anchor="i8eb957240b034c6db2a10fd4a9057d2f_25">
              <w:r>
                <w:rPr>
                  <w:rStyle w:val="InternetLink"/>
                  <w:rFonts w:ascii="Times New Roman;serif" w:hAnsi="Times New Roman;serif"/>
                  <w:b w:val="false"/>
                  <w:color w:val="000080"/>
                  <w:sz w:val="20"/>
                  <w:u w:val="single"/>
                </w:rPr>
                <w:t>Nine</w:t>
              </w:r>
            </w:hyperlink>
            <w:hyperlink w:anchor="i8eb957240b034c6db2a10fd4a9057d2f_25">
              <w:r>
                <w:rPr>
                  <w:rStyle w:val="InternetLink"/>
                  <w:rFonts w:ascii="Times New Roman;serif" w:hAnsi="Times New Roman;serif"/>
                  <w:b w:val="false"/>
                  <w:color w:val="000080"/>
                  <w:sz w:val="20"/>
                  <w:u w:val="single"/>
                </w:rPr>
                <w:t xml:space="preserve"> Months Ended </w:t>
              </w:r>
            </w:hyperlink>
            <w:hyperlink w:anchor="i8eb957240b034c6db2a10fd4a9057d2f_25">
              <w:r>
                <w:rPr>
                  <w:rStyle w:val="InternetLink"/>
                  <w:rFonts w:ascii="Times New Roman;serif" w:hAnsi="Times New Roman;serif"/>
                  <w:b w:val="false"/>
                  <w:color w:val="000080"/>
                  <w:sz w:val="20"/>
                  <w:u w:val="single"/>
                </w:rPr>
                <w:t>July</w:t>
              </w:r>
            </w:hyperlink>
            <w:hyperlink w:anchor="i8eb957240b034c6db2a10fd4a9057d2f_25">
              <w:r>
                <w:rPr>
                  <w:rStyle w:val="InternetLink"/>
                  <w:rFonts w:ascii="Times New Roman;serif" w:hAnsi="Times New Roman;serif"/>
                  <w:b w:val="false"/>
                  <w:color w:val="000080"/>
                  <w:sz w:val="20"/>
                  <w:u w:val="single"/>
                </w:rPr>
                <w:t xml:space="preserve"> 26, 2026 and</w:t>
              </w:r>
            </w:hyperlink>
            <w:r>
              <w:rPr>
                <w:rFonts w:ascii="Times New Roman;serif" w:hAnsi="Times New Roman;serif"/>
                <w:b w:val="false"/>
                <w:color w:val="0000FF"/>
                <w:sz w:val="20"/>
                <w:u w:val="single"/>
              </w:rPr>
              <w:t xml:space="preserve"> July 27, 2025</w:t>
            </w:r>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25">
              <w:r>
                <w:rPr>
                  <w:rStyle w:val="InternetLink"/>
                  <w:rFonts w:ascii="Times New Roman;serif" w:hAnsi="Times New Roman;serif"/>
                  <w:b w:val="false"/>
                  <w:color w:val="0000FF"/>
                  <w:sz w:val="20"/>
                  <w:u w:val="singl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28">
              <w:r>
                <w:rPr>
                  <w:rStyle w:val="InternetLink"/>
                  <w:rFonts w:ascii="Times New Roman;serif" w:hAnsi="Times New Roman;serif"/>
                  <w:b w:val="false"/>
                  <w:color w:val="000080"/>
                  <w:sz w:val="20"/>
                  <w:u w:val="single"/>
                </w:rPr>
                <w:t xml:space="preserve">Consolidated Condensed Statements of Cash Flows for the </w:t>
              </w:r>
            </w:hyperlink>
            <w:hyperlink w:anchor="i8eb957240b034c6db2a10fd4a9057d2f_28">
              <w:r>
                <w:rPr>
                  <w:rStyle w:val="InternetLink"/>
                  <w:rFonts w:ascii="Times New Roman;serif" w:hAnsi="Times New Roman;serif"/>
                  <w:b w:val="false"/>
                  <w:color w:val="000080"/>
                  <w:sz w:val="20"/>
                  <w:u w:val="single"/>
                </w:rPr>
                <w:t>Nine</w:t>
              </w:r>
            </w:hyperlink>
            <w:hyperlink w:anchor="i8eb957240b034c6db2a10fd4a9057d2f_28">
              <w:r>
                <w:rPr>
                  <w:rStyle w:val="InternetLink"/>
                  <w:rFonts w:ascii="Times New Roman;serif" w:hAnsi="Times New Roman;serif"/>
                  <w:b w:val="false"/>
                  <w:color w:val="000080"/>
                  <w:sz w:val="20"/>
                  <w:u w:val="single"/>
                </w:rPr>
                <w:t xml:space="preserve"> Months Ended </w:t>
              </w:r>
            </w:hyperlink>
            <w:hyperlink w:anchor="i8eb957240b034c6db2a10fd4a9057d2f_28">
              <w:r>
                <w:rPr>
                  <w:rStyle w:val="InternetLink"/>
                  <w:rFonts w:ascii="Times New Roman;serif" w:hAnsi="Times New Roman;serif"/>
                  <w:b w:val="false"/>
                  <w:color w:val="000080"/>
                  <w:sz w:val="20"/>
                  <w:u w:val="single"/>
                </w:rPr>
                <w:t>July</w:t>
              </w:r>
            </w:hyperlink>
            <w:hyperlink w:anchor="i8eb957240b034c6db2a10fd4a9057d2f_28">
              <w:r>
                <w:rPr>
                  <w:rStyle w:val="InternetLink"/>
                  <w:rFonts w:ascii="Times New Roman;serif" w:hAnsi="Times New Roman;serif"/>
                  <w:b w:val="false"/>
                  <w:color w:val="000080"/>
                  <w:sz w:val="20"/>
                  <w:u w:val="single"/>
                </w:rPr>
                <w:t xml:space="preserve"> 26, 2026 and</w:t>
              </w:r>
            </w:hyperlink>
            <w:r>
              <w:rPr>
                <w:rFonts w:ascii="Times New Roman;serif" w:hAnsi="Times New Roman;serif"/>
                <w:b w:val="false"/>
                <w:color w:val="0000FF"/>
                <w:sz w:val="20"/>
                <w:u w:val="single"/>
              </w:rPr>
              <w:t xml:space="preserve"> July 27, 2025</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28">
              <w:r>
                <w:rPr>
                  <w:rStyle w:val="InternetLink"/>
                  <w:rFonts w:ascii="Times New Roman;serif" w:hAnsi="Times New Roman;serif"/>
                  <w:b w:val="false"/>
                  <w:color w:val="0000FF"/>
                  <w:sz w:val="20"/>
                  <w:u w:val="single"/>
                </w:rPr>
                <w:t>8</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31">
              <w:r>
                <w:rPr>
                  <w:rStyle w:val="InternetLink"/>
                  <w:rFonts w:ascii="Times New Roman;serif" w:hAnsi="Times New Roman;serif"/>
                  <w:b w:val="false"/>
                  <w:color w:val="0000FF"/>
                  <w:sz w:val="20"/>
                  <w:u w:val="single"/>
                </w:rPr>
                <w:t>Notes to Consolidated Condensed Financial Statements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31">
              <w:r>
                <w:rPr>
                  <w:rStyle w:val="InternetLink"/>
                  <w:rFonts w:ascii="Times New Roman;serif" w:hAnsi="Times New Roman;serif"/>
                  <w:b w:val="false"/>
                  <w:color w:val="0000FF"/>
                  <w:sz w:val="20"/>
                  <w:u w:val="single"/>
                </w:rPr>
                <w:t>10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76">
              <w:r>
                <w:rPr>
                  <w:rStyle w:val="InternetLink"/>
                  <w:rFonts w:ascii="Times New Roman;serif" w:hAnsi="Times New Roman;serif"/>
                  <w:b w:val="false"/>
                  <w:color w:val="0000FF"/>
                  <w:sz w:val="20"/>
                  <w:u w:val="single"/>
                </w:rPr>
                <w:t>32</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94">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94">
              <w:r>
                <w:rPr>
                  <w:rStyle w:val="InternetLink"/>
                  <w:rFonts w:ascii="Times New Roman;serif" w:hAnsi="Times New Roman;serif"/>
                  <w:b w:val="false"/>
                  <w:color w:val="0000FF"/>
                  <w:sz w:val="20"/>
                  <w:u w:val="singl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97">
              <w:r>
                <w:rPr>
                  <w:rStyle w:val="InternetLink"/>
                  <w:rFonts w:ascii="Times New Roman;serif" w:hAnsi="Times New Roman;serif"/>
                  <w:b w:val="false"/>
                  <w:color w:val="0000FF"/>
                  <w:sz w:val="20"/>
                  <w:u w:val="single"/>
                </w:rPr>
                <w:t>Controls and Procedures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97">
              <w:r>
                <w:rPr>
                  <w:rStyle w:val="InternetLink"/>
                  <w:rFonts w:ascii="Times New Roman;serif" w:hAnsi="Times New Roman;serif"/>
                  <w:b w:val="false"/>
                  <w:color w:val="0000FF"/>
                  <w:sz w:val="20"/>
                  <w:u w:val="single"/>
                </w:rPr>
                <w:t>45</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03">
              <w:r>
                <w:rPr>
                  <w:rStyle w:val="InternetLink"/>
                  <w:rFonts w:ascii="Times New Roman;serif" w:hAnsi="Times New Roman;serif"/>
                  <w:b w:val="false"/>
                  <w:color w:val="0000FF"/>
                  <w:sz w:val="20"/>
                  <w:u w:val="single"/>
                </w:rPr>
                <w:t>Legal Proceedings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3">
              <w:r>
                <w:rPr>
                  <w:rStyle w:val="InternetLink"/>
                  <w:rFonts w:ascii="Times New Roman;serif" w:hAnsi="Times New Roman;serif"/>
                  <w:b w:val="false"/>
                  <w:color w:val="0000FF"/>
                  <w:sz w:val="20"/>
                  <w:u w:val="single"/>
                </w:rPr>
                <w:t>46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06">
              <w:r>
                <w:rPr>
                  <w:rStyle w:val="InternetLink"/>
                  <w:rFonts w:ascii="Times New Roman;serif" w:hAnsi="Times New Roman;serif"/>
                  <w:b w:val="false"/>
                  <w:color w:val="0000FF"/>
                  <w:sz w:val="20"/>
                  <w:u w:val="single"/>
                </w:rPr>
                <w:t>Risk Factors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6">
              <w:r>
                <w:rPr>
                  <w:rStyle w:val="InternetLink"/>
                  <w:rFonts w:ascii="Times New Roman;serif" w:hAnsi="Times New Roman;serif"/>
                  <w:b w:val="false"/>
                  <w:color w:val="0000FF"/>
                  <w:sz w:val="20"/>
                  <w:u w:val="single"/>
                </w:rPr>
                <w:t>47</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09">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9">
              <w:r>
                <w:rPr>
                  <w:rStyle w:val="InternetLink"/>
                  <w:rFonts w:ascii="Times New Roman;serif" w:hAnsi="Times New Roman;serif"/>
                  <w:b w:val="false"/>
                  <w:color w:val="0000FF"/>
                  <w:sz w:val="20"/>
                  <w:u w:val="single"/>
                </w:rPr>
                <w:t>59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12">
              <w:r>
                <w:rPr>
                  <w:rStyle w:val="InternetLink"/>
                  <w:rFonts w:ascii="Times New Roman;serif" w:hAnsi="Times New Roman;serif"/>
                  <w:b w:val="false"/>
                  <w:color w:val="0000FF"/>
                  <w:sz w:val="20"/>
                  <w:u w:val="single"/>
                </w:rPr>
                <w:t>Defaults Upon Senior Securities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9">
              <w:r>
                <w:rPr>
                  <w:rStyle w:val="InternetLink"/>
                  <w:rFonts w:ascii="Times New Roman;serif" w:hAnsi="Times New Roman;serif"/>
                  <w:b w:val="false"/>
                  <w:color w:val="0000FF"/>
                  <w:sz w:val="20"/>
                  <w:u w:val="single"/>
                </w:rPr>
                <w:t>59</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15">
              <w:r>
                <w:rPr>
                  <w:rStyle w:val="InternetLink"/>
                  <w:rFonts w:ascii="Times New Roman;serif" w:hAnsi="Times New Roman;serif"/>
                  <w:b w:val="false"/>
                  <w:color w:val="0000FF"/>
                  <w:sz w:val="20"/>
                  <w:u w:val="single"/>
                </w:rPr>
                <w:t>Mine Safety Disclosures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9">
              <w:r>
                <w:rPr>
                  <w:rStyle w:val="InternetLink"/>
                  <w:rFonts w:ascii="Times New Roman;serif" w:hAnsi="Times New Roman;serif"/>
                  <w:b w:val="false"/>
                  <w:color w:val="0000FF"/>
                  <w:sz w:val="20"/>
                  <w:u w:val="single"/>
                </w:rPr>
                <w:t>59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18">
              <w:r>
                <w:rPr>
                  <w:rStyle w:val="InternetLink"/>
                  <w:rFonts w:ascii="Times New Roman;serif" w:hAnsi="Times New Roman;serif"/>
                  <w:b w:val="false"/>
                  <w:color w:val="0000FF"/>
                  <w:sz w:val="20"/>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09">
              <w:r>
                <w:rPr>
                  <w:rStyle w:val="InternetLink"/>
                  <w:rFonts w:ascii="Times New Roman;serif" w:hAnsi="Times New Roman;serif"/>
                  <w:b w:val="false"/>
                  <w:color w:val="0000FF"/>
                  <w:sz w:val="20"/>
                  <w:u w:val="single"/>
                </w:rPr>
                <w:t>59</w:t>
              </w:r>
            </w:hyperlink>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21">
              <w:r>
                <w:rPr>
                  <w:rStyle w:val="InternetLink"/>
                  <w:rFonts w:ascii="Times New Roman;serif" w:hAnsi="Times New Roman;serif"/>
                  <w:b w:val="false"/>
                  <w:color w:val="0000FF"/>
                  <w:sz w:val="20"/>
                  <w:u w:val="single"/>
                </w:rPr>
                <w:t>Exhibits</w:t>
              </w:r>
            </w:hyperlink>
          </w:p>
        </w:tc>
        <w:tc>
          <w:tcPr>
            <w:tcW w:w="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21">
              <w:r>
                <w:rPr>
                  <w:rStyle w:val="InternetLink"/>
                  <w:rFonts w:ascii="Times New Roman;serif" w:hAnsi="Times New Roman;serif"/>
                  <w:b w:val="false"/>
                  <w:color w:val="0000FF"/>
                  <w:sz w:val="20"/>
                  <w:u w:val="single"/>
                </w:rPr>
                <w:t>60</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eb957240b034c6db2a10fd4a9057d2f_124">
              <w:r>
                <w:rPr>
                  <w:rStyle w:val="InternetLink"/>
                  <w:rFonts w:ascii="Times New Roman;serif" w:hAnsi="Times New Roman;serif"/>
                  <w:b w:val="false"/>
                  <w:color w:val="0000FF"/>
                  <w:sz w:val="20"/>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eb957240b034c6db2a10fd4a9057d2f_124">
              <w:r>
                <w:rPr>
                  <w:rStyle w:val="InternetLink"/>
                  <w:rFonts w:ascii="Times New Roman;serif" w:hAnsi="Times New Roman;serif"/>
                  <w:b w:val="false"/>
                  <w:color w:val="0000FF"/>
                  <w:sz w:val="20"/>
                  <w:u w:val="single"/>
                </w:rPr>
                <w:t>61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Item 1.</w:t>
      </w:r>
      <w:r>
        <w:rPr>
          <w:color w:val="000000"/>
        </w:rPr>
        <w:t>    </w:t>
      </w:r>
      <w:r>
        <w:rPr>
          <w:rFonts w:ascii="Times New Roman;serif" w:hAnsi="Times New Roman;serif"/>
          <w:b/>
          <w:i/>
          <w:color w:val="000000"/>
          <w:sz w:val="20"/>
        </w:rPr>
        <w:t>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CONDENSED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p>
      <w:pPr>
        <w:pStyle w:val="TextBody"/>
        <w:bidi w:val="0"/>
        <w:spacing w:before="0" w:after="0"/>
        <w:jc w:val="center"/>
        <w:rPr/>
      </w:pPr>
      <w:r>
        <w:rPr/>
      </w:r>
    </w:p>
    <w:tbl>
      <w:tblPr>
        <w:tblW w:w="8354" w:type="dxa"/>
        <w:jc w:val="center"/>
        <w:tblInd w:w="0" w:type="dxa"/>
        <w:tblLayout w:type="fixed"/>
        <w:tblCellMar>
          <w:top w:w="28" w:type="dxa"/>
          <w:left w:w="28" w:type="dxa"/>
          <w:bottom w:w="28" w:type="dxa"/>
          <w:right w:w="28" w:type="dxa"/>
        </w:tblCellMar>
      </w:tblPr>
      <w:tblGrid>
        <w:gridCol w:w="1220"/>
        <w:gridCol w:w="1075"/>
        <w:gridCol w:w="107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CONSOLIDATED CONDENSED STATEMENTS OF COMPREHENSIVE INCOME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68"/>
        <w:gridCol w:w="1724"/>
        <w:gridCol w:w="174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6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available-for-sale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net loss on 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CONDENSED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bl>
      <w:tblPr>
        <w:tblW w:w="6924" w:type="dxa"/>
        <w:jc w:val="center"/>
        <w:tblInd w:w="0" w:type="dxa"/>
        <w:tblLayout w:type="fixed"/>
        <w:tblCellMar>
          <w:top w:w="28" w:type="dxa"/>
          <w:left w:w="28" w:type="dxa"/>
          <w:bottom w:w="28" w:type="dxa"/>
          <w:right w:w="28" w:type="dxa"/>
        </w:tblCellMar>
      </w:tblPr>
      <w:tblGrid>
        <w:gridCol w:w="1617"/>
        <w:gridCol w:w="1422"/>
        <w:gridCol w:w="1431"/>
        <w:gridCol w:w="211"/>
        <w:gridCol w:w="721"/>
        <w:gridCol w:w="109"/>
        <w:gridCol w:w="109"/>
        <w:gridCol w:w="109"/>
        <w:gridCol w:w="109"/>
        <w:gridCol w:w="211"/>
        <w:gridCol w:w="721"/>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technology and other 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Amounts as of July 26, 2026 are unaudited. Amounts as of October 26, 2025 are derived from the October 26, 2025 audited consolidated financial statements.</w:t>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CONDENSED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p>
      <w:pPr>
        <w:pStyle w:val="TextBody"/>
        <w:bidi w:val="0"/>
        <w:spacing w:before="0" w:after="0"/>
        <w:jc w:val="center"/>
        <w:rPr/>
      </w:pPr>
      <w:r>
        <w:rPr/>
      </w:r>
    </w:p>
    <w:tbl>
      <w:tblPr>
        <w:tblW w:w="10600" w:type="dxa"/>
        <w:jc w:val="center"/>
        <w:tblInd w:w="0" w:type="dxa"/>
        <w:tblLayout w:type="fixed"/>
        <w:tblCellMar>
          <w:top w:w="28" w:type="dxa"/>
          <w:left w:w="28" w:type="dxa"/>
          <w:bottom w:w="28" w:type="dxa"/>
          <w:right w:w="28" w:type="dxa"/>
        </w:tblCellMar>
      </w:tblPr>
      <w:tblGrid>
        <w:gridCol w:w="749"/>
        <w:gridCol w:w="210"/>
        <w:gridCol w:w="212"/>
        <w:gridCol w:w="210"/>
        <w:gridCol w:w="211"/>
        <w:gridCol w:w="196"/>
        <w:gridCol w:w="109"/>
        <w:gridCol w:w="109"/>
        <w:gridCol w:w="109"/>
        <w:gridCol w:w="248"/>
        <w:gridCol w:w="305"/>
        <w:gridCol w:w="138"/>
        <w:gridCol w:w="109"/>
        <w:gridCol w:w="109"/>
        <w:gridCol w:w="109"/>
        <w:gridCol w:w="196"/>
        <w:gridCol w:w="646"/>
        <w:gridCol w:w="109"/>
        <w:gridCol w:w="109"/>
        <w:gridCol w:w="109"/>
        <w:gridCol w:w="109"/>
        <w:gridCol w:w="196"/>
        <w:gridCol w:w="646"/>
        <w:gridCol w:w="109"/>
        <w:gridCol w:w="109"/>
        <w:gridCol w:w="109"/>
        <w:gridCol w:w="109"/>
        <w:gridCol w:w="278"/>
        <w:gridCol w:w="278"/>
        <w:gridCol w:w="196"/>
        <w:gridCol w:w="109"/>
        <w:gridCol w:w="109"/>
        <w:gridCol w:w="109"/>
        <w:gridCol w:w="196"/>
        <w:gridCol w:w="661"/>
        <w:gridCol w:w="109"/>
        <w:gridCol w:w="109"/>
        <w:gridCol w:w="109"/>
        <w:gridCol w:w="109"/>
        <w:gridCol w:w="321"/>
        <w:gridCol w:w="715"/>
        <w:gridCol w:w="180"/>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July 26, 2026</w:t>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26, 2026</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($0.53 per common share)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under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26, 2026</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600" w:type="dxa"/>
        <w:jc w:val="left"/>
        <w:tblInd w:w="0" w:type="dxa"/>
        <w:tblLayout w:type="fixed"/>
        <w:tblCellMar>
          <w:top w:w="28" w:type="dxa"/>
          <w:left w:w="28" w:type="dxa"/>
          <w:bottom w:w="28" w:type="dxa"/>
          <w:right w:w="28" w:type="dxa"/>
        </w:tblCellMar>
      </w:tblPr>
      <w:tblGrid>
        <w:gridCol w:w="749"/>
        <w:gridCol w:w="210"/>
        <w:gridCol w:w="212"/>
        <w:gridCol w:w="210"/>
        <w:gridCol w:w="211"/>
        <w:gridCol w:w="196"/>
        <w:gridCol w:w="109"/>
        <w:gridCol w:w="109"/>
        <w:gridCol w:w="109"/>
        <w:gridCol w:w="248"/>
        <w:gridCol w:w="305"/>
        <w:gridCol w:w="138"/>
        <w:gridCol w:w="109"/>
        <w:gridCol w:w="109"/>
        <w:gridCol w:w="109"/>
        <w:gridCol w:w="196"/>
        <w:gridCol w:w="646"/>
        <w:gridCol w:w="109"/>
        <w:gridCol w:w="109"/>
        <w:gridCol w:w="109"/>
        <w:gridCol w:w="109"/>
        <w:gridCol w:w="196"/>
        <w:gridCol w:w="646"/>
        <w:gridCol w:w="109"/>
        <w:gridCol w:w="109"/>
        <w:gridCol w:w="109"/>
        <w:gridCol w:w="109"/>
        <w:gridCol w:w="278"/>
        <w:gridCol w:w="278"/>
        <w:gridCol w:w="196"/>
        <w:gridCol w:w="109"/>
        <w:gridCol w:w="109"/>
        <w:gridCol w:w="109"/>
        <w:gridCol w:w="196"/>
        <w:gridCol w:w="661"/>
        <w:gridCol w:w="109"/>
        <w:gridCol w:w="109"/>
        <w:gridCol w:w="109"/>
        <w:gridCol w:w="109"/>
        <w:gridCol w:w="321"/>
        <w:gridCol w:w="715"/>
        <w:gridCol w:w="180"/>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July 26, 2026</w:t>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26, 2025</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($1.52 per common share)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under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26, 2026</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(46,180)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CONDENSED STATEMENTS OF STOCKHOLDERS’ EQUITY (Continued)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p>
      <w:pPr>
        <w:pStyle w:val="TextBody"/>
        <w:bidi w:val="0"/>
        <w:spacing w:before="0" w:after="0"/>
        <w:jc w:val="center"/>
        <w:rPr/>
      </w:pPr>
      <w:r>
        <w:rPr/>
      </w:r>
    </w:p>
    <w:p>
      <w:pPr>
        <w:pStyle w:val="TextBody"/>
        <w:bidi w:val="0"/>
        <w:spacing w:before="0" w:after="0"/>
        <w:jc w:val="center"/>
        <w:rPr/>
      </w:pPr>
      <w:r>
        <w:rPr/>
      </w:r>
    </w:p>
    <w:tbl>
      <w:tblPr>
        <w:tblW w:w="10600" w:type="dxa"/>
        <w:jc w:val="center"/>
        <w:tblInd w:w="0" w:type="dxa"/>
        <w:tblLayout w:type="fixed"/>
        <w:tblCellMar>
          <w:top w:w="28" w:type="dxa"/>
          <w:left w:w="28" w:type="dxa"/>
          <w:bottom w:w="28" w:type="dxa"/>
          <w:right w:w="28" w:type="dxa"/>
        </w:tblCellMar>
      </w:tblPr>
      <w:tblGrid>
        <w:gridCol w:w="749"/>
        <w:gridCol w:w="210"/>
        <w:gridCol w:w="212"/>
        <w:gridCol w:w="210"/>
        <w:gridCol w:w="211"/>
        <w:gridCol w:w="196"/>
        <w:gridCol w:w="109"/>
        <w:gridCol w:w="109"/>
        <w:gridCol w:w="109"/>
        <w:gridCol w:w="248"/>
        <w:gridCol w:w="305"/>
        <w:gridCol w:w="138"/>
        <w:gridCol w:w="109"/>
        <w:gridCol w:w="109"/>
        <w:gridCol w:w="109"/>
        <w:gridCol w:w="196"/>
        <w:gridCol w:w="646"/>
        <w:gridCol w:w="109"/>
        <w:gridCol w:w="109"/>
        <w:gridCol w:w="109"/>
        <w:gridCol w:w="109"/>
        <w:gridCol w:w="196"/>
        <w:gridCol w:w="646"/>
        <w:gridCol w:w="109"/>
        <w:gridCol w:w="109"/>
        <w:gridCol w:w="109"/>
        <w:gridCol w:w="109"/>
        <w:gridCol w:w="278"/>
        <w:gridCol w:w="278"/>
        <w:gridCol w:w="196"/>
        <w:gridCol w:w="109"/>
        <w:gridCol w:w="109"/>
        <w:gridCol w:w="109"/>
        <w:gridCol w:w="196"/>
        <w:gridCol w:w="661"/>
        <w:gridCol w:w="109"/>
        <w:gridCol w:w="109"/>
        <w:gridCol w:w="109"/>
        <w:gridCol w:w="109"/>
        <w:gridCol w:w="321"/>
        <w:gridCol w:w="715"/>
        <w:gridCol w:w="180"/>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July 27, 2025</w:t>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27, 2025</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($0.46 per common share)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under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27, 2025</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600" w:type="dxa"/>
        <w:jc w:val="center"/>
        <w:tblInd w:w="0" w:type="dxa"/>
        <w:tblLayout w:type="fixed"/>
        <w:tblCellMar>
          <w:top w:w="28" w:type="dxa"/>
          <w:left w:w="28" w:type="dxa"/>
          <w:bottom w:w="28" w:type="dxa"/>
          <w:right w:w="28" w:type="dxa"/>
        </w:tblCellMar>
      </w:tblPr>
      <w:tblGrid>
        <w:gridCol w:w="749"/>
        <w:gridCol w:w="210"/>
        <w:gridCol w:w="212"/>
        <w:gridCol w:w="210"/>
        <w:gridCol w:w="211"/>
        <w:gridCol w:w="196"/>
        <w:gridCol w:w="109"/>
        <w:gridCol w:w="109"/>
        <w:gridCol w:w="109"/>
        <w:gridCol w:w="248"/>
        <w:gridCol w:w="305"/>
        <w:gridCol w:w="138"/>
        <w:gridCol w:w="109"/>
        <w:gridCol w:w="109"/>
        <w:gridCol w:w="109"/>
        <w:gridCol w:w="196"/>
        <w:gridCol w:w="646"/>
        <w:gridCol w:w="109"/>
        <w:gridCol w:w="109"/>
        <w:gridCol w:w="109"/>
        <w:gridCol w:w="109"/>
        <w:gridCol w:w="196"/>
        <w:gridCol w:w="646"/>
        <w:gridCol w:w="109"/>
        <w:gridCol w:w="109"/>
        <w:gridCol w:w="109"/>
        <w:gridCol w:w="109"/>
        <w:gridCol w:w="278"/>
        <w:gridCol w:w="278"/>
        <w:gridCol w:w="196"/>
        <w:gridCol w:w="109"/>
        <w:gridCol w:w="109"/>
        <w:gridCol w:w="109"/>
        <w:gridCol w:w="196"/>
        <w:gridCol w:w="661"/>
        <w:gridCol w:w="109"/>
        <w:gridCol w:w="109"/>
        <w:gridCol w:w="109"/>
        <w:gridCol w:w="109"/>
        <w:gridCol w:w="321"/>
        <w:gridCol w:w="715"/>
        <w:gridCol w:w="180"/>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Nine Months Ended July 27, 2025</w:t>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October 27, 2024</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($1.32 per common share)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under stock plans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27, 2025</w:t>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20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CONDENSED STATEMENTS OF CASH FLOWS </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6"/>
        </w:rPr>
        <w:t>In millions)</w:t>
      </w:r>
    </w:p>
    <w:tbl>
      <w:tblPr>
        <w:tblW w:w="9702" w:type="dxa"/>
        <w:jc w:val="center"/>
        <w:tblInd w:w="0" w:type="dxa"/>
        <w:tblLayout w:type="fixed"/>
        <w:tblCellMar>
          <w:top w:w="28" w:type="dxa"/>
          <w:left w:w="28" w:type="dxa"/>
          <w:bottom w:w="28" w:type="dxa"/>
          <w:right w:w="28" w:type="dxa"/>
        </w:tblCellMar>
      </w:tblPr>
      <w:tblGrid>
        <w:gridCol w:w="2583"/>
        <w:gridCol w:w="2275"/>
        <w:gridCol w:w="2282"/>
        <w:gridCol w:w="247"/>
        <w:gridCol w:w="721"/>
        <w:gridCol w:w="127"/>
        <w:gridCol w:w="109"/>
        <w:gridCol w:w="109"/>
        <w:gridCol w:w="109"/>
        <w:gridCol w:w="245"/>
        <w:gridCol w:w="716"/>
        <w:gridCol w:w="179"/>
      </w:tblGrid>
      <w:tr>
        <w:trPr/>
        <w:tc>
          <w:tcPr>
            <w:tcW w:w="258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 2025</w:t>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required to reconcile net income to cash provided by operating activities: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 loss and impairment on investments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and non-current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payable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provided by operating activities</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5,130 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acquisitions, net of cash acquired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asset sale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sales and maturities of investments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investments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(5,109)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used in investing activities</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(3,152)</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commercial paper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Repayments of commercial paper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Proceeds from common stock issuances </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 repurchases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payments for vested equity awards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dividends to stockholders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of debt issuance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used in financing activities</w:t>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(5,146)</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(decrease) in cash, cash equivalents and restricted cash equivalents</w:t>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(2,659)</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equivalents — beginning of period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equivalents — end of period</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Reconciliation of cash, cash equivalents and restricted cash equivalents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equivalents included in deferred income taxes and other assets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cash, cash equivalents and restricted cash equivalents</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7,094 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714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CONDENSED STATEMENTS OF CASH FLOWS (Continued)</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6"/>
        </w:rPr>
        <w:t>In millions)</w:t>
      </w:r>
    </w:p>
    <w:p>
      <w:pPr>
        <w:pStyle w:val="TextBody"/>
        <w:bidi w:val="0"/>
        <w:spacing w:before="0" w:after="0"/>
        <w:jc w:val="center"/>
        <w:rPr/>
      </w:pPr>
      <w:r>
        <w:rPr/>
      </w:r>
    </w:p>
    <w:tbl>
      <w:tblPr>
        <w:tblW w:w="5679" w:type="dxa"/>
        <w:jc w:val="center"/>
        <w:tblInd w:w="0" w:type="dxa"/>
        <w:tblLayout w:type="fixed"/>
        <w:tblCellMar>
          <w:top w:w="28" w:type="dxa"/>
          <w:left w:w="28" w:type="dxa"/>
          <w:bottom w:w="28" w:type="dxa"/>
          <w:right w:w="28" w:type="dxa"/>
        </w:tblCellMar>
      </w:tblPr>
      <w:tblGrid>
        <w:gridCol w:w="1129"/>
        <w:gridCol w:w="994"/>
        <w:gridCol w:w="996"/>
        <w:gridCol w:w="295"/>
        <w:gridCol w:w="635"/>
        <w:gridCol w:w="164"/>
        <w:gridCol w:w="109"/>
        <w:gridCol w:w="109"/>
        <w:gridCol w:w="109"/>
        <w:gridCol w:w="246"/>
        <w:gridCol w:w="700"/>
        <w:gridCol w:w="193"/>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 2025</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Supplemental cash flow information:</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refunds from income taxes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CONSOLIDATED CONDENSED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Basis of Presentation and Recently Adopted Accounting Standards</w:t>
      </w:r>
    </w:p>
    <w:p>
      <w:pPr>
        <w:pStyle w:val="TextBody"/>
        <w:bidi w:val="0"/>
        <w:spacing w:lineRule="auto" w:line="288" w:before="18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our management, the unaudited interim consolidated condensed financial statements of Applied Materials, Inc. and its subsidiaries (we, us, and our) included herein have been prepared on a basis consistent with the October 26, 2025 audited consolidated financial statements and include all material adjustments, consisting of normal recurring adjustments, necessary to fairly state the information set forth therein. These unaudited interim consolidated condensed financial statements should be read in conjunction with the audited consolidated financial statements and notes thereto included in our Annual Report on Form 10-K for the fiscal year ended October 26, 2025 (2025 Form 10-K).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Our results of operations for the three and nine months ended July 26, 2026 are not necessarily indicative of future operating results. Our fiscal year ends on the last Sunday in October of each year. Fiscal 2026 and 2025 contain 52 weeks each and the first nine months of fiscal 2026 and 2025 each contained 39 weeks.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prior-year amounts have been reclassified to conform to current-year presentation.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rFonts w:ascii="Times New Roman;serif" w:hAnsi="Times New Roman;serif"/>
          <w:b/>
          <w:color w:val="000000"/>
          <w:sz w:val="20"/>
        </w:rPr>
      </w:pPr>
      <w:r>
        <w:rPr>
          <w:rFonts w:ascii="Times New Roman;serif" w:hAnsi="Times New Roman;serif"/>
          <w:b/>
          <w:color w:val="000000"/>
          <w:sz w:val="20"/>
        </w:rPr>
        <w:t>Note 2      Earnings Per Share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employees’ stock purchase plan shares) outstanding during the period. Our net income has not been adjusted for any period presented for purposes of computing basic or diluted earnings per share due to our non-complex capital structure. </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59"/>
        <w:gridCol w:w="1728"/>
        <w:gridCol w:w="174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95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weighted dilutive restricted stock units and employees’ stock purchase plan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weighted dilutive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Excluded from the calculation of diluted earnings per share are securities attributable to outstanding restricted stock units where the combined exercise price and average unamortized fair value are greater than the average market price of our common stock, and therefore their inclusion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3      Cash, Cash Equivalents and Investments</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Summary of Cash, Cash Equivalents and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our cash, cash equivalents and investments by security type:</w:t>
      </w:r>
    </w:p>
    <w:p>
      <w:pPr>
        <w:pStyle w:val="TextBody"/>
        <w:bidi w:val="0"/>
        <w:spacing w:lineRule="auto" w:line="288" w:before="0" w:after="0"/>
        <w:jc w:val="left"/>
        <w:rPr>
          <w:color w:val="000000"/>
        </w:rPr>
      </w:pPr>
      <w:r>
        <w:rPr>
          <w:color w:val="000000"/>
        </w:rPr>
        <w:t> </w:t>
      </w:r>
    </w:p>
    <w:tbl>
      <w:tblPr>
        <w:tblW w:w="9880" w:type="dxa"/>
        <w:jc w:val="left"/>
        <w:tblInd w:w="0" w:type="dxa"/>
        <w:tblLayout w:type="fixed"/>
        <w:tblCellMar>
          <w:top w:w="28" w:type="dxa"/>
          <w:left w:w="28" w:type="dxa"/>
          <w:bottom w:w="28" w:type="dxa"/>
          <w:right w:w="28" w:type="dxa"/>
        </w:tblCellMar>
      </w:tblPr>
      <w:tblGrid>
        <w:gridCol w:w="1796"/>
        <w:gridCol w:w="1566"/>
        <w:gridCol w:w="1588"/>
        <w:gridCol w:w="211"/>
        <w:gridCol w:w="721"/>
        <w:gridCol w:w="109"/>
        <w:gridCol w:w="109"/>
        <w:gridCol w:w="109"/>
        <w:gridCol w:w="109"/>
        <w:gridCol w:w="211"/>
        <w:gridCol w:w="616"/>
        <w:gridCol w:w="109"/>
        <w:gridCol w:w="109"/>
        <w:gridCol w:w="109"/>
        <w:gridCol w:w="109"/>
        <w:gridCol w:w="237"/>
        <w:gridCol w:w="525"/>
        <w:gridCol w:w="124"/>
        <w:gridCol w:w="109"/>
        <w:gridCol w:w="109"/>
        <w:gridCol w:w="109"/>
        <w:gridCol w:w="211"/>
        <w:gridCol w:w="721"/>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July 26, 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 and time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corporate bonds and medium-term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long-term investments: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 and 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Non-U.S. government securities</w:t>
            </w:r>
            <w:r>
              <w:rPr>
                <w:rFonts w:ascii="Times New Roman;serif" w:hAnsi="Times New Roman;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corporate bonds and medium-term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and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traded equity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privately held companies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investments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*Excludes $57 million of restricted cash equivalents invested in money market funds related to deferred compensation plans.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**Consists of German government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tbl>
      <w:tblPr>
        <w:tblW w:w="9830" w:type="dxa"/>
        <w:jc w:val="left"/>
        <w:tblInd w:w="0" w:type="dxa"/>
        <w:tblLayout w:type="fixed"/>
        <w:tblCellMar>
          <w:top w:w="28" w:type="dxa"/>
          <w:left w:w="28" w:type="dxa"/>
          <w:bottom w:w="28" w:type="dxa"/>
          <w:right w:w="28" w:type="dxa"/>
        </w:tblCellMar>
      </w:tblPr>
      <w:tblGrid>
        <w:gridCol w:w="1793"/>
        <w:gridCol w:w="1572"/>
        <w:gridCol w:w="1585"/>
        <w:gridCol w:w="211"/>
        <w:gridCol w:w="721"/>
        <w:gridCol w:w="109"/>
        <w:gridCol w:w="109"/>
        <w:gridCol w:w="109"/>
        <w:gridCol w:w="109"/>
        <w:gridCol w:w="237"/>
        <w:gridCol w:w="525"/>
        <w:gridCol w:w="124"/>
        <w:gridCol w:w="109"/>
        <w:gridCol w:w="109"/>
        <w:gridCol w:w="109"/>
        <w:gridCol w:w="257"/>
        <w:gridCol w:w="495"/>
        <w:gridCol w:w="134"/>
        <w:gridCol w:w="109"/>
        <w:gridCol w:w="109"/>
        <w:gridCol w:w="109"/>
        <w:gridCol w:w="211"/>
        <w:gridCol w:w="721"/>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October 26,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 and time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corporate bonds and medium-term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long-term investments: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 and 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Non-U.S. government securities</w:t>
            </w:r>
            <w:r>
              <w:rPr>
                <w:rFonts w:ascii="Times New Roman;serif" w:hAnsi="Times New Roman;serif"/>
                <w:b w:val="false"/>
                <w:color w:val="000000"/>
                <w:sz w:val="13"/>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corporate bonds and medium-term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and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securities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traded equity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privately held companies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investments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*Excludes $71 million of restricted cash equivalents invested in money market funds related to deferred compensation plans.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**Consists of Canadian provincial government debt.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26, 2026 and July 27, 2025, interest income from our cash, cash equivalents and fixed income securities was $104 million and $92 million, respectively.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26, 2026 and July 27, 2025, interest income from our cash, cash equivalents and fixed income securities was $297 million and $309 million, respectively.</w:t>
      </w:r>
    </w:p>
    <w:p>
      <w:pPr>
        <w:pStyle w:val="TextBody"/>
        <w:bidi w:val="0"/>
        <w:spacing w:before="120" w:after="283"/>
        <w:ind w:left="0" w:right="0" w:firstLine="495"/>
        <w:jc w:val="both"/>
        <w:rPr/>
      </w:pPr>
      <w:r>
        <w:rPr/>
      </w:r>
    </w:p>
    <w:p>
      <w:pPr>
        <w:pStyle w:val="TextBody"/>
        <w:bidi w:val="0"/>
        <w:spacing w:lineRule="auto" w:line="288" w:before="24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Maturities of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our investments as of July 26, 2026:</w:t>
      </w:r>
    </w:p>
    <w:p>
      <w:pPr>
        <w:pStyle w:val="TextBody"/>
        <w:bidi w:val="0"/>
        <w:spacing w:lineRule="auto" w:line="288" w:before="0" w:after="0"/>
        <w:jc w:val="left"/>
        <w:rPr>
          <w:color w:val="000000"/>
        </w:rPr>
      </w:pPr>
      <w:r>
        <w:rPr>
          <w:color w:val="000000"/>
        </w:rPr>
        <w:t> </w:t>
      </w:r>
    </w:p>
    <w:tbl>
      <w:tblPr>
        <w:tblW w:w="4959" w:type="dxa"/>
        <w:jc w:val="left"/>
        <w:tblInd w:w="0" w:type="dxa"/>
        <w:tblLayout w:type="fixed"/>
        <w:tblCellMar>
          <w:top w:w="28" w:type="dxa"/>
          <w:left w:w="28" w:type="dxa"/>
          <w:bottom w:w="28" w:type="dxa"/>
          <w:right w:w="28" w:type="dxa"/>
        </w:tblCellMar>
      </w:tblPr>
      <w:tblGrid>
        <w:gridCol w:w="979"/>
        <w:gridCol w:w="862"/>
        <w:gridCol w:w="874"/>
        <w:gridCol w:w="211"/>
        <w:gridCol w:w="616"/>
        <w:gridCol w:w="109"/>
        <w:gridCol w:w="109"/>
        <w:gridCol w:w="109"/>
        <w:gridCol w:w="109"/>
        <w:gridCol w:w="211"/>
        <w:gridCol w:w="61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single maturity date*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with no single maturity date include publicly traded and privately held equity securities and asset-backed and mortgage-backed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Gains and Losses on Investments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July 26, 2026 and July 27, 2025, gross realized gains and losses on our fixed income portfolio were not material.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26, 2026 and October 26, 2025, gross unrealized losses related to our fixed income portfolio were not material. We regularly review our fixed income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we will be required to sell the security prior to recovery. Credit losses related to available-for-sale debt securities are recorded as an allowance for credit losses through interest and other income (expense), net. Any additional changes in fair value that are not related to credit losses are recognized in accumulated other comprehensive income (loss) (AOCI). During the three and nine months ended July 26, 2026 and July 27, 2025, we did not recognize material credit losses and the ending allowance for credit losses was not material to our fixed income portfolio.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components of gain (loss) on equity investments recognized in the Consolidated Condensed Statements of Operations for the three and nine months ended July 26, 2026 and July 27, 2025 were as follows:</w:t>
      </w:r>
    </w:p>
    <w:tbl>
      <w:tblPr>
        <w:tblW w:w="8399" w:type="dxa"/>
        <w:jc w:val="left"/>
        <w:tblInd w:w="0" w:type="dxa"/>
        <w:tblLayout w:type="fixed"/>
        <w:tblCellMar>
          <w:top w:w="28" w:type="dxa"/>
          <w:left w:w="28" w:type="dxa"/>
          <w:bottom w:w="28" w:type="dxa"/>
          <w:right w:w="28" w:type="dxa"/>
        </w:tblCellMar>
      </w:tblPr>
      <w:tblGrid>
        <w:gridCol w:w="1450"/>
        <w:gridCol w:w="1275"/>
        <w:gridCol w:w="1279"/>
        <w:gridCol w:w="211"/>
        <w:gridCol w:w="541"/>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traded equity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sales and dividends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sales or 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privately held companies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sales and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sales or impairment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(loss) on equity investments,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120" w:after="120"/>
        <w:ind w:left="0" w:right="0" w:firstLine="225"/>
        <w:jc w:val="both"/>
        <w:rPr>
          <w:rFonts w:ascii="Times New Roman;serif" w:hAnsi="Times New Roman;serif"/>
          <w:b/>
          <w:i/>
          <w:color w:val="000000"/>
          <w:sz w:val="20"/>
        </w:rPr>
      </w:pPr>
      <w:r>
        <w:rPr>
          <w:rFonts w:ascii="Times New Roman;serif" w:hAnsi="Times New Roman;serif"/>
          <w:b/>
          <w:i/>
          <w:color w:val="000000"/>
          <w:sz w:val="20"/>
        </w:rPr>
        <w:t>Assets Measured at Fair Value on a Recurring Basis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fair value hierarchy for our financial assets (excluding cash balances) measured at fair value on a recurring basis: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39"/>
        <w:gridCol w:w="659"/>
        <w:gridCol w:w="663"/>
        <w:gridCol w:w="211"/>
        <w:gridCol w:w="616"/>
        <w:gridCol w:w="109"/>
        <w:gridCol w:w="109"/>
        <w:gridCol w:w="109"/>
        <w:gridCol w:w="109"/>
        <w:gridCol w:w="211"/>
        <w:gridCol w:w="616"/>
        <w:gridCol w:w="109"/>
        <w:gridCol w:w="109"/>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721"/>
        <w:gridCol w:w="156"/>
      </w:tblGrid>
      <w:tr>
        <w:trPr/>
        <w:tc>
          <w:tcPr>
            <w:tcW w:w="93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 2025</w:t>
            </w:r>
          </w:p>
        </w:tc>
        <w:tc>
          <w:tcPr>
            <w:tcW w:w="1633" w:type="dxa"/>
            <w:gridSpan w:val="8"/>
            <w:tcBorders/>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1"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633" w:type="dxa"/>
            <w:gridSpan w:val="8"/>
            <w:tcBorders/>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security investments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certificates of deposit and time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agency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corporate bonds and medium-term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and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security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with readily determinable values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Publicly traded 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investments with readily determinable values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6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*Amounts as of July 26, 2026 and October 26, 2025 include $57 million and $71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July 26, 2026 and October 26, 2025, available-for-sale, short-term and long-term investments not recognized at fair value based upon observable inputs or quoted prices were not material.</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did not have any financial assets measured at fair value on a recurring basis within Level 3 fair value measurements as of July 26, 2026 or October 26, 2025.</w:t>
      </w:r>
    </w:p>
    <w:p>
      <w:pPr>
        <w:pStyle w:val="TextBody"/>
        <w:bidi w:val="0"/>
        <w:spacing w:lineRule="auto" w:line="288" w:before="1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Assets and Liabilities without Readily Determinable Values Measured on a Non-recurring Basis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equity investments without readily determinable values consist of equity investments in privately held companies. We elected the measurement alternative, defined as cost, less impairments, adjusted for subsequent observable price changes on a prospective basis for certain equity investments without readily determinable fair values and are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 Impairment losses on equity investments in privately held companies, included in the above fair value hierarchy table, were not material during the three and nine months ended July 26, 2026 and July 27, 2025. These impairment losses are included in interest and other income (expense), net in the Consolidated Condensed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financial instruments, including cash and cash equivalents, restricted cash equivalents, accounts receivable, commercial paper notes, and accounts payable and accrued expenses, approximate fair value due to their short maturities. As of July 26, 2026, the aggregate principal amount of long-term senior unsecured notes issued by us was $5.3 billion, and their estimated fair value, excluding associated interest rate swaps, was $4.7 billion. See Note 5 of the Notes to the Consolidated Condensed Financial Statements for information on our interest rate swaps. As of October 26, 2025, the aggregate principal amount of long-term senior unsecured notes was $6.5 billion and the estimated fair value was $6.2 billion. The estimated fair value of long-term senior unsecured notes issued by us is determined by Level 2 inputs and is based primarily on quoted market prices for the same or similar issues. See Note 9 of the Notes to the Consolidated Condensed Financial Statements for additional information on our senior unsecured notes.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5       Derivative Instruments and Hedging Activities</w:t>
      </w:r>
    </w:p>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in a number of foreign countries, with certain transactions denominated in local currencies, such as the Japanese yen, Israeli shekel, euro and Taiwanese dollar. We use derivative financial instruments, such as foreign currency forward and option contracts, to hedge certain forecasted foreign currency denominated transactions expected to occur typically within the next 24 months. The purpose of our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We do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our derivative financial instruments are recorded at their fair value in other current assets, accounts payable and accrued expenses, or long-term debt.</w:t>
      </w:r>
      <w:r>
        <w:rPr>
          <w:color w:val="000000"/>
        </w:rPr>
        <w: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accumulated other comprehensive income (loss) (AOCI) in stockholders’ equity and is reclassified into earnings when the hedged transaction affects earnings. The majority of the after-tax net income or loss related to foreign exchange derivative instruments included in AOCI as of July 26, 2026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we recognize the gain or loss on the associated financial instrument in the Consolidated Condensed Statement of Operations. The amount recognized due to discontinuance of cash flow hedges that were probable of not occurring by the end of the originally specified time period was not material for the three and nine months ended July 26, 2026 and July 27,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Foreign currency forward contracts are generally used to hedge certain foreign currency denominated assets or liabilities. Accordingly, changes in the fair value of these hedges are recorded in the Consolidated Condensed Statement of Operations to offset the changes in the fair value of the assets or liabilities being hedged.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also use interest rate swap derivatives to partially offset our business exposure to interest risk associated with our outstanding fixed rate senior unsecured notes. These interest rate swaps are designated as fair value hedges and used to offset changes in the fair value of certain unsecured senior notes attributable to changes in the benchmark interest rate. We reflect the interest settlement associated with the interest rate swap as cash flows from operating activities in the Consolidated Statements of Cash Flows. During the nine months ended July 26, 2026, we entered into a series of interest rate swaps with the aggregate notional amount of $500 million. We record changes in fair value on the swaps in our Consolidated Condensed Statements of Operations with a corresponding offset to the value of the hedged senior unsecured notes. See Note 9 of the Notes to the Consolidated Condensed Financial Statements for additional discussion of our senior unsecured notes.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July 26, 2026 and October 26, 2025, the total outstanding notional amounts of foreign exchange contracts were $3.7 billion and $2.3 billion, respectively. The fair values of foreign exchange derivative instruments as of July 26, 2026 and October 26, 2025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gain (loss) on derivatives in cash flow hedging relationships recognized in AOCI for derivatives designated as hedging instruments were not material for the three and nine months ended July 26, 2026 and July 27,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effects of derivative instruments, both those designated and not designated as cash flow and fair value hedges, on the Consolidated Condensed Statements of Operations were not material for the three and nine months ended July 26, 2026 and July 27, 2025.</w:t>
      </w:r>
    </w:p>
    <w:p>
      <w:pPr>
        <w:pStyle w:val="TextBody"/>
        <w:bidi w:val="0"/>
        <w:spacing w:lineRule="auto" w:line="288" w:before="18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Credit Risk Contingent Features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If our credit rating were to fall below investment grade, we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not material as of July 26,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Entering into derivative contracts with banks exposes us to credit-related losses in the event of the banks’ nonperformance. However, our exposure is not considered material.</w:t>
      </w:r>
    </w:p>
    <w:p>
      <w:pPr>
        <w:pStyle w:val="TextBody"/>
        <w:bidi w:val="0"/>
        <w:spacing w:before="12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Note 6      Accounts Receivable, Net</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an allowance for credit losses for estimated losses resulting from the inability of our customers to make required payments. This allowance is based on historical experience, credit evaluations, specific customer collection history and any customer-specific issues we have identified. Changes in circumstances, such as an unexpected material adverse change in a major customer’s ability to meet its financial obligation to us or its payment trends, may require us to further adjust our estimates of the recoverability of amounts due to us. Bad debt expense and any reversals are recorded in marketing and selling expenses in the Consolidated Condensed Statements of Operations.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balances of allowance for credit losses were not material as of July 26, 2026 and October 26, 2025, and the changes in allowance for credit losses were not material for the three and nine months ended July 26, 2026 and July 27,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sell our products principally to manufacturers within the semiconductor industry. While we believe that our allowance for credit losses is adequate and represents our best estimate as of July 26, 2026, we continue to closely monitor customer liquidity and industry and economic conditions, which may result in changes to our estimates.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Contract Balances and Performance Obligations</w:t>
      </w:r>
    </w:p>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Our contract assets and liabilities are reported in a net position on a contract-by-contract basis at the end of each reporting period.</w:t>
      </w:r>
    </w:p>
    <w:p>
      <w:pPr>
        <w:pStyle w:val="TextBody"/>
        <w:bidi w:val="0"/>
        <w:spacing w:lineRule="auto" w:line="288"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assets are generally classified as current and are included in Other Current Assets in the Consolidated Condensed Balance Sheets. Contract liabilities are classified as current or non-current based on the timing of when performance obligations will be satisfied and associated revenue is expected to be recognized.</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Contract balances at the end of each reporting period were as follows:</w:t>
      </w:r>
    </w:p>
    <w:tbl>
      <w:tblPr>
        <w:tblW w:w="4496" w:type="dxa"/>
        <w:jc w:val="left"/>
        <w:tblInd w:w="0" w:type="dxa"/>
        <w:tblLayout w:type="fixed"/>
        <w:tblCellMar>
          <w:top w:w="28" w:type="dxa"/>
          <w:left w:w="28" w:type="dxa"/>
          <w:bottom w:w="28" w:type="dxa"/>
          <w:right w:w="28" w:type="dxa"/>
        </w:tblCellMar>
      </w:tblPr>
      <w:tblGrid>
        <w:gridCol w:w="597"/>
        <w:gridCol w:w="525"/>
        <w:gridCol w:w="528"/>
        <w:gridCol w:w="247"/>
        <w:gridCol w:w="721"/>
        <w:gridCol w:w="127"/>
        <w:gridCol w:w="109"/>
        <w:gridCol w:w="109"/>
        <w:gridCol w:w="109"/>
        <w:gridCol w:w="306"/>
        <w:gridCol w:w="895"/>
        <w:gridCol w:w="223"/>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 2025</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contract assets during the nine months ended July 26, 2026 was primarily due to a decrease in unsatisfied performance obligations related to goods transferred to customers where payment was conditional upon technical sign off.</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July 26, 2026, we recognized revenue of approximately $1.8 billion related to contract liabilities at October 26, 2025. Contract liabilities increased during the nine months ended July 26, 2026 due to new billings for products and services for which there were unsatisfied performance obligations to customers and revenue had not yet been recognized as of July 26, 2026, partially offset by revenue recognized related to contract liabilities at October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credit losses recognized on our accounts receivable and contract assets during both the nine months ended July 26, 2026 and July 27, 2025.</w:t>
      </w:r>
    </w:p>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26, 2026, the amount of remaining unsatisfied performance obligations on contracts, primarily consisting of written purchase orders received from customers, with an original estimated duration of one year or more was approximately $1.0 billion, of which approximately 73% is expected to be recognized within 12 months and the remainder is expected to be recognized within the following 24 months thereafter.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elected the available practical expedient to exclude the value of unsatisfied performance obligations for contracts with an original expected duration of one year or less.</w:t>
      </w:r>
    </w:p>
    <w:p>
      <w:pPr>
        <w:pStyle w:val="TextBody"/>
        <w:bidi w:val="0"/>
        <w:spacing w:before="10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8      Balance Sheet Detail</w:t>
      </w:r>
    </w:p>
    <w:p>
      <w:pPr>
        <w:pStyle w:val="TextBody"/>
        <w:bidi w:val="0"/>
        <w:spacing w:lineRule="auto" w:line="288" w:before="0" w:after="0"/>
        <w:jc w:val="left"/>
        <w:rPr>
          <w:color w:val="000000"/>
        </w:rPr>
      </w:pPr>
      <w:r>
        <w:rPr>
          <w:color w:val="000000"/>
        </w:rPr>
        <w:t> </w:t>
      </w:r>
    </w:p>
    <w:tbl>
      <w:tblPr>
        <w:tblW w:w="5102" w:type="dxa"/>
        <w:jc w:val="left"/>
        <w:tblInd w:w="0" w:type="dxa"/>
        <w:tblLayout w:type="fixed"/>
        <w:tblCellMar>
          <w:top w:w="28" w:type="dxa"/>
          <w:left w:w="28" w:type="dxa"/>
          <w:bottom w:w="28" w:type="dxa"/>
          <w:right w:w="28" w:type="dxa"/>
        </w:tblCellMar>
      </w:tblPr>
      <w:tblGrid>
        <w:gridCol w:w="1019"/>
        <w:gridCol w:w="897"/>
        <w:gridCol w:w="903"/>
        <w:gridCol w:w="211"/>
        <w:gridCol w:w="616"/>
        <w:gridCol w:w="109"/>
        <w:gridCol w:w="109"/>
        <w:gridCol w:w="109"/>
        <w:gridCol w:w="109"/>
        <w:gridCol w:w="219"/>
        <w:gridCol w:w="641"/>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spares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Evaluation 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Manufactured on-hand 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finished goods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both"/>
        <w:rPr>
          <w:color w:val="000000"/>
        </w:rPr>
      </w:pPr>
      <w:r>
        <w:rPr>
          <w:color w:val="000000"/>
        </w:rPr>
        <w:t> </w:t>
      </w:r>
    </w:p>
    <w:tbl>
      <w:tblPr>
        <w:tblW w:w="6467" w:type="dxa"/>
        <w:jc w:val="left"/>
        <w:tblInd w:w="0" w:type="dxa"/>
        <w:tblLayout w:type="fixed"/>
        <w:tblCellMar>
          <w:top w:w="28" w:type="dxa"/>
          <w:left w:w="28" w:type="dxa"/>
          <w:bottom w:w="28" w:type="dxa"/>
          <w:right w:w="28" w:type="dxa"/>
        </w:tblCellMar>
      </w:tblPr>
      <w:tblGrid>
        <w:gridCol w:w="1514"/>
        <w:gridCol w:w="1331"/>
        <w:gridCol w:w="1339"/>
        <w:gridCol w:w="211"/>
        <w:gridCol w:w="616"/>
        <w:gridCol w:w="109"/>
        <w:gridCol w:w="109"/>
        <w:gridCol w:w="109"/>
        <w:gridCol w:w="109"/>
        <w:gridCol w:w="219"/>
        <w:gridCol w:w="641"/>
        <w:gridCol w:w="160"/>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 and income taxes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tbl>
      <w:tblPr>
        <w:tblW w:w="7306" w:type="dxa"/>
        <w:jc w:val="left"/>
        <w:tblInd w:w="0" w:type="dxa"/>
        <w:tblLayout w:type="fixed"/>
        <w:tblCellMar>
          <w:top w:w="28" w:type="dxa"/>
          <w:left w:w="28" w:type="dxa"/>
          <w:bottom w:w="28" w:type="dxa"/>
          <w:right w:w="28" w:type="dxa"/>
        </w:tblCellMar>
      </w:tblPr>
      <w:tblGrid>
        <w:gridCol w:w="1380"/>
        <w:gridCol w:w="1213"/>
        <w:gridCol w:w="1217"/>
        <w:gridCol w:w="295"/>
        <w:gridCol w:w="295"/>
        <w:gridCol w:w="296"/>
        <w:gridCol w:w="109"/>
        <w:gridCol w:w="109"/>
        <w:gridCol w:w="109"/>
        <w:gridCol w:w="211"/>
        <w:gridCol w:w="616"/>
        <w:gridCol w:w="109"/>
        <w:gridCol w:w="109"/>
        <w:gridCol w:w="109"/>
        <w:gridCol w:w="109"/>
        <w:gridCol w:w="219"/>
        <w:gridCol w:w="641"/>
        <w:gridCol w:w="160"/>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Demonstration and manufacturing equipment</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other equipment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5838" w:type="dxa"/>
        <w:jc w:val="center"/>
        <w:tblInd w:w="0" w:type="dxa"/>
        <w:tblLayout w:type="fixed"/>
        <w:tblCellMar>
          <w:top w:w="28" w:type="dxa"/>
          <w:left w:w="28" w:type="dxa"/>
          <w:bottom w:w="28" w:type="dxa"/>
          <w:right w:w="28" w:type="dxa"/>
        </w:tblCellMar>
      </w:tblPr>
      <w:tblGrid>
        <w:gridCol w:w="1286"/>
        <w:gridCol w:w="1130"/>
        <w:gridCol w:w="1139"/>
        <w:gridCol w:w="211"/>
        <w:gridCol w:w="616"/>
        <w:gridCol w:w="109"/>
        <w:gridCol w:w="109"/>
        <w:gridCol w:w="109"/>
        <w:gridCol w:w="109"/>
        <w:gridCol w:w="219"/>
        <w:gridCol w:w="641"/>
        <w:gridCol w:w="160"/>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Income Taxes and Other 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tbl>
      <w:tblPr>
        <w:tblW w:w="5837" w:type="dxa"/>
        <w:jc w:val="left"/>
        <w:tblInd w:w="0" w:type="dxa"/>
        <w:tblLayout w:type="fixed"/>
        <w:tblCellMar>
          <w:top w:w="28" w:type="dxa"/>
          <w:left w:w="28" w:type="dxa"/>
          <w:bottom w:w="28" w:type="dxa"/>
          <w:right w:w="28" w:type="dxa"/>
        </w:tblCellMar>
      </w:tblPr>
      <w:tblGrid>
        <w:gridCol w:w="1286"/>
        <w:gridCol w:w="1132"/>
        <w:gridCol w:w="1136"/>
        <w:gridCol w:w="211"/>
        <w:gridCol w:w="616"/>
        <w:gridCol w:w="109"/>
        <w:gridCol w:w="109"/>
        <w:gridCol w:w="109"/>
        <w:gridCol w:w="109"/>
        <w:gridCol w:w="219"/>
        <w:gridCol w:w="641"/>
        <w:gridCol w:w="160"/>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 and Accrued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5703" w:type="dxa"/>
        <w:jc w:val="left"/>
        <w:tblInd w:w="0" w:type="dxa"/>
        <w:tblLayout w:type="fixed"/>
        <w:tblCellMar>
          <w:top w:w="28" w:type="dxa"/>
          <w:left w:w="28" w:type="dxa"/>
          <w:bottom w:w="28" w:type="dxa"/>
          <w:right w:w="28" w:type="dxa"/>
        </w:tblCellMar>
      </w:tblPr>
      <w:tblGrid>
        <w:gridCol w:w="1239"/>
        <w:gridCol w:w="1087"/>
        <w:gridCol w:w="1094"/>
        <w:gridCol w:w="211"/>
        <w:gridCol w:w="616"/>
        <w:gridCol w:w="109"/>
        <w:gridCol w:w="109"/>
        <w:gridCol w:w="109"/>
        <w:gridCol w:w="109"/>
        <w:gridCol w:w="219"/>
        <w:gridCol w:w="641"/>
        <w:gridCol w:w="160"/>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and postretirement benefit plans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Government Assistance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Capital expenditure related incentives reduced gross property, plant and equipment by $1.8 billion as of July 26, 2026. To the extent the capital expenditure related incentives exceed our applicable income tax liabilities, we are eligible to receive a refund in cash. In our Consolidated Condensed Balance Sheets as of July 26, 2026, we have recorded $1.2 billion of investment tax credits, of which $41 million was recorded in other current assets and will offset fiscal 2026 income tax liabilities, and $1.2 billion was recorded in deferred income taxes and other assets and is expected to be refunded. Contra depreciation expense and operating incentives recorded as a reduction to expense were not material for the three and nine months ended July 26, 2026 and July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9      Borrowing Facilities and Debt</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September 2025, we entered into a $2.0 billion 364-day committed revolving credit agreement (364-Day Credit Agreement) with a group of banks. The 364-Day Credit Agreement includes a provision under which we may request an increase in the amount of the facility of up to $1.0 billion for a total commitment of no more than $3.0 billion, subject to the receipt of commitments from one or more lenders for any such increase and other customary conditions.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February 2025, we entered into a $2.0 billion committed revolving credit agreement (Five-Year Credit Agreement) with a group of banks. The Five-Year Credit Agreement includes a provision under which we may request an increase in the amount of the facility of up to $500 million for a total commitment of no more than $2.5 billion, subject to the receipt of commitments from one or more lenders for any such increase and other customary conditions. The Five-Year Credit Agreement is scheduled to expire in February 2030, unless extended as permitted under the terms of the agreement.</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Each of the 364-Day Credit Agreement and the Five-Year Credit Agreement provides for unsecured borrowings that bear interest for each advance at one of two rates selected by us, plus an applicable margin, which varies according to our public debt credit ratings.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No amounts were outstanding under the 364-Day Credit Agreement or the Five-Year Credit Agreement as of July 26, 2026 and October 26, 2025. </w:t>
      </w:r>
    </w:p>
    <w:p>
      <w:pPr>
        <w:pStyle w:val="TextBody"/>
        <w:bidi w:val="0"/>
        <w:spacing w:lineRule="auto" w:line="288" w:before="120" w:after="283"/>
        <w:ind w:left="0" w:right="0" w:firstLine="495"/>
        <w:jc w:val="both"/>
        <w:rPr/>
      </w:pPr>
      <w:r>
        <w:rPr>
          <w:rFonts w:ascii="Times New Roman;serif" w:hAnsi="Times New Roman;serif"/>
          <w:b w:val="false"/>
          <w:color w:val="000000"/>
          <w:sz w:val="20"/>
        </w:rPr>
        <w:t>In addition, we have revolving credit facilities with Japanese banks pursuant to which we may borrow up to approximately $49 million in aggregate at any time. Our ability to borrow</w:t>
      </w:r>
      <w:r>
        <w:rPr>
          <w:color w:val="000000"/>
        </w:rPr>
        <w:t xml:space="preserve"> </w:t>
      </w:r>
      <w:r>
        <w:rPr>
          <w:rFonts w:ascii="Times New Roman;serif" w:hAnsi="Times New Roman;serif"/>
          <w:b w:val="false"/>
          <w:color w:val="000000"/>
          <w:sz w:val="20"/>
        </w:rPr>
        <w:t xml:space="preserve">under these facilities is subject to bank approval at the time of the borrowing request, and any advances will be at rates indexed to the banks’ prime reference rate denominated in Japanese yen. As of July 26, 2026 and October 26, 2025, no amounts were outstanding under these revolving credit facilities. </w:t>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Short-term Commercial Paper</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 short-term commercial paper program under which we may issue unsecured commercial paper notes of up to a total amount of $4.0 billion. The proceeds from the issuances of commercial paper are used for general corporate purposes. As of July 26, 2026, we had $100 million of commercial paper notes outstanding and recorded as short-term debt with a weighted-average interest rate of 3.78% and maturities of 69 days, and as of October 26, 2025, we had $100 million of commercial paper notes outstanding and recorded as short-term debt with a weighted-average interest rate of 4.07% and maturities of 35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Senior Unsecured Notes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Debt outstanding as of July 26, 2026 and October 26, 2025 was as follows:</w:t>
      </w:r>
      <w:r>
        <w:rPr>
          <w:color w:val="000000"/>
        </w:rPr>
        <w:t> </w:t>
      </w:r>
    </w:p>
    <w:tbl>
      <w:tblPr>
        <w:tblW w:w="9147" w:type="dxa"/>
        <w:jc w:val="left"/>
        <w:tblInd w:w="0" w:type="dxa"/>
        <w:tblLayout w:type="fixed"/>
        <w:tblCellMar>
          <w:top w:w="28" w:type="dxa"/>
          <w:left w:w="28" w:type="dxa"/>
          <w:bottom w:w="28" w:type="dxa"/>
          <w:right w:w="28" w:type="dxa"/>
        </w:tblCellMar>
      </w:tblPr>
      <w:tblGrid>
        <w:gridCol w:w="1185"/>
        <w:gridCol w:w="1039"/>
        <w:gridCol w:w="1046"/>
        <w:gridCol w:w="211"/>
        <w:gridCol w:w="616"/>
        <w:gridCol w:w="109"/>
        <w:gridCol w:w="109"/>
        <w:gridCol w:w="109"/>
        <w:gridCol w:w="109"/>
        <w:gridCol w:w="220"/>
        <w:gridCol w:w="642"/>
        <w:gridCol w:w="113"/>
        <w:gridCol w:w="109"/>
        <w:gridCol w:w="109"/>
        <w:gridCol w:w="109"/>
        <w:gridCol w:w="350"/>
        <w:gridCol w:w="350"/>
        <w:gridCol w:w="351"/>
        <w:gridCol w:w="109"/>
        <w:gridCol w:w="109"/>
        <w:gridCol w:w="109"/>
        <w:gridCol w:w="565"/>
        <w:gridCol w:w="565"/>
        <w:gridCol w:w="804"/>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Pay Dates</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3.300% Senior Notes Due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October 1</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portion of long-term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3.300% Senior Notes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October 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4.800% Senior Notes Due 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December 15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1.750% Senior Notes Due 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December 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July 15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5.100% Senior Notes Due 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October 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4.600% Senior Notes Due 2036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July 15</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5.850% Senior Notes Due 2041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15, December 15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4.350% Senior Notes Due 2047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October 1</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2.750% Senior Notes Due 2050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December 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unamortized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unamortized debt issuance costs</w:t>
            </w:r>
            <w:r>
              <w:rPr>
                <w:color w:val="000000"/>
              </w:rPr>
              <w:t xml:space="preserv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interest rate swaps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00"/>
        <w:jc w:val="left"/>
        <w:rPr>
          <w:rFonts w:ascii="Times New Roman;serif" w:hAnsi="Times New Roman;serif"/>
          <w:b/>
          <w:color w:val="000000"/>
          <w:sz w:val="20"/>
        </w:rPr>
      </w:pPr>
      <w:r>
        <w:rPr>
          <w:rFonts w:ascii="Times New Roman;serif" w:hAnsi="Times New Roman;serif"/>
          <w:b/>
          <w:color w:val="000000"/>
          <w:sz w:val="20"/>
        </w:rPr>
        <w:t>Note 10      Restructuring Charges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Fiscal 2025 Restructuring Plan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we approved a workforce reduction plan (Fiscal 2025 Restructuring Plan) to position us for continued growth as a more competitive and productive organization. The majority of the charges related to the Fiscal 2025 Restructuring Plan were recognized in the fourth quarter of fiscal 2025 and consist primarily of severance and other employment termination benefits to be paid in cash, and other non-cash related charges.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Restructuring charges related to the Fiscal 2025 Restructuring Plan were as follows:</w:t>
      </w:r>
    </w:p>
    <w:tbl>
      <w:tblPr>
        <w:tblW w:w="8200" w:type="dxa"/>
        <w:jc w:val="left"/>
        <w:tblInd w:w="0" w:type="dxa"/>
        <w:tblLayout w:type="fixed"/>
        <w:tblCellMar>
          <w:top w:w="28" w:type="dxa"/>
          <w:left w:w="28" w:type="dxa"/>
          <w:bottom w:w="28" w:type="dxa"/>
          <w:right w:w="28" w:type="dxa"/>
        </w:tblCellMar>
      </w:tblPr>
      <w:tblGrid>
        <w:gridCol w:w="1403"/>
        <w:gridCol w:w="1231"/>
        <w:gridCol w:w="1236"/>
        <w:gridCol w:w="211"/>
        <w:gridCol w:w="406"/>
        <w:gridCol w:w="109"/>
        <w:gridCol w:w="109"/>
        <w:gridCol w:w="109"/>
        <w:gridCol w:w="109"/>
        <w:gridCol w:w="211"/>
        <w:gridCol w:w="406"/>
        <w:gridCol w:w="109"/>
        <w:gridCol w:w="109"/>
        <w:gridCol w:w="109"/>
        <w:gridCol w:w="109"/>
        <w:gridCol w:w="214"/>
        <w:gridCol w:w="366"/>
        <w:gridCol w:w="110"/>
        <w:gridCol w:w="109"/>
        <w:gridCol w:w="109"/>
        <w:gridCol w:w="109"/>
        <w:gridCol w:w="211"/>
        <w:gridCol w:w="406"/>
        <w:gridCol w:w="109"/>
        <w:gridCol w:w="109"/>
        <w:gridCol w:w="109"/>
        <w:gridCol w:w="109"/>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employee-related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restructuring reserves related to the Fiscal 2025 Restructuring Plan described above for the nine months ended July 26, 2026 were as follows:</w:t>
      </w:r>
    </w:p>
    <w:tbl>
      <w:tblPr>
        <w:tblW w:w="5784" w:type="dxa"/>
        <w:jc w:val="left"/>
        <w:tblInd w:w="0" w:type="dxa"/>
        <w:tblLayout w:type="fixed"/>
        <w:tblCellMar>
          <w:top w:w="28" w:type="dxa"/>
          <w:left w:w="28" w:type="dxa"/>
          <w:bottom w:w="28" w:type="dxa"/>
          <w:right w:w="28" w:type="dxa"/>
        </w:tblCellMar>
      </w:tblPr>
      <w:tblGrid>
        <w:gridCol w:w="962"/>
        <w:gridCol w:w="843"/>
        <w:gridCol w:w="850"/>
        <w:gridCol w:w="652"/>
        <w:gridCol w:w="1439"/>
        <w:gridCol w:w="339"/>
        <w:gridCol w:w="109"/>
        <w:gridCol w:w="109"/>
        <w:gridCol w:w="109"/>
        <w:gridCol w:w="109"/>
        <w:gridCol w:w="109"/>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Charges Reserves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699" w:type="dxa"/>
            <w:gridSpan w:val="6"/>
            <w:tcBorders/>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October 26, 2025</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of reserves</w:t>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25, 2026</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of reserves</w:t>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26, 2026</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2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of reserves</w:t>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26, 2026</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620"/>
        <w:jc w:val="left"/>
        <w:rPr>
          <w:rFonts w:ascii="Times New Roman;serif" w:hAnsi="Times New Roman;serif"/>
          <w:b/>
          <w:color w:val="000000"/>
          <w:sz w:val="20"/>
        </w:rPr>
      </w:pPr>
      <w:r>
        <w:rPr>
          <w:rFonts w:ascii="Times New Roman;serif" w:hAnsi="Times New Roman;serif"/>
          <w:b/>
          <w:color w:val="000000"/>
          <w:sz w:val="20"/>
        </w:rPr>
        <w:t>Note 11      Stockholders’ Equity, Comprehensive Income and Share-Based Compensation</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Changes in the components of accumulated other comprehensive income (loss) (AOCI), net of tax, were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18"/>
        <w:gridCol w:w="544"/>
        <w:gridCol w:w="547"/>
        <w:gridCol w:w="418"/>
        <w:gridCol w:w="747"/>
        <w:gridCol w:w="218"/>
        <w:gridCol w:w="109"/>
        <w:gridCol w:w="109"/>
        <w:gridCol w:w="109"/>
        <w:gridCol w:w="554"/>
        <w:gridCol w:w="989"/>
        <w:gridCol w:w="287"/>
        <w:gridCol w:w="109"/>
        <w:gridCol w:w="109"/>
        <w:gridCol w:w="109"/>
        <w:gridCol w:w="396"/>
        <w:gridCol w:w="905"/>
        <w:gridCol w:w="206"/>
        <w:gridCol w:w="109"/>
        <w:gridCol w:w="109"/>
        <w:gridCol w:w="109"/>
        <w:gridCol w:w="403"/>
        <w:gridCol w:w="691"/>
        <w:gridCol w:w="210"/>
        <w:gridCol w:w="109"/>
        <w:gridCol w:w="109"/>
        <w:gridCol w:w="109"/>
        <w:gridCol w:w="211"/>
        <w:gridCol w:w="491"/>
        <w:gridCol w:w="162"/>
      </w:tblGrid>
      <w:tr>
        <w:trPr/>
        <w:tc>
          <w:tcPr>
            <w:tcW w:w="9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 Qualifying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October 26, 2025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Amounts reclassified out of AOCI</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26, 2026</w:t>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0"/>
        <w:gridCol w:w="545"/>
        <w:gridCol w:w="549"/>
        <w:gridCol w:w="401"/>
        <w:gridCol w:w="772"/>
        <w:gridCol w:w="208"/>
        <w:gridCol w:w="109"/>
        <w:gridCol w:w="109"/>
        <w:gridCol w:w="109"/>
        <w:gridCol w:w="553"/>
        <w:gridCol w:w="988"/>
        <w:gridCol w:w="287"/>
        <w:gridCol w:w="109"/>
        <w:gridCol w:w="109"/>
        <w:gridCol w:w="109"/>
        <w:gridCol w:w="456"/>
        <w:gridCol w:w="813"/>
        <w:gridCol w:w="237"/>
        <w:gridCol w:w="109"/>
        <w:gridCol w:w="109"/>
        <w:gridCol w:w="109"/>
        <w:gridCol w:w="403"/>
        <w:gridCol w:w="691"/>
        <w:gridCol w:w="210"/>
        <w:gridCol w:w="109"/>
        <w:gridCol w:w="109"/>
        <w:gridCol w:w="109"/>
        <w:gridCol w:w="211"/>
        <w:gridCol w:w="491"/>
        <w:gridCol w:w="162"/>
      </w:tblGrid>
      <w:tr>
        <w:trPr/>
        <w:tc>
          <w:tcPr>
            <w:tcW w:w="9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 Qualifying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October 27, 2024</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(loss) before reclassifications </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AOCI</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27, 2025</w:t>
            </w:r>
          </w:p>
        </w:tc>
        <w:tc>
          <w:tcPr>
            <w:tcW w:w="4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tax effects on net income of amounts reclassified from AOCI for the three and nine months ended July 26, 2026 and July 27, 2025 were not material.</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2025, our Board of Directors approved a common stock repurchase program authorizing $10.0 billion in repurchases, which supplemented the previous $10.0 billion authorization approved in March 2023. As of July 26, 2026, approximately $12.8 billion remained available for future stock repurchases under the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repurchases, including and excluding excise tax, for the three and nine months ended July 26, 2026 and July 27, 2025:</w:t>
      </w:r>
    </w:p>
    <w:tbl>
      <w:tblPr>
        <w:tblW w:w="9495" w:type="dxa"/>
        <w:jc w:val="left"/>
        <w:tblInd w:w="0" w:type="dxa"/>
        <w:tblLayout w:type="fixed"/>
        <w:tblCellMar>
          <w:top w:w="28" w:type="dxa"/>
          <w:left w:w="28" w:type="dxa"/>
          <w:bottom w:w="28" w:type="dxa"/>
          <w:right w:w="28" w:type="dxa"/>
        </w:tblCellMar>
      </w:tblPr>
      <w:tblGrid>
        <w:gridCol w:w="1560"/>
        <w:gridCol w:w="1371"/>
        <w:gridCol w:w="13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repurchased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stock repurchased (including excise tax)</w:t>
            </w:r>
            <w:r>
              <w:rPr>
                <w:rFonts w:ascii="Times New Roman;serif" w:hAnsi="Times New Roman;serif"/>
                <w:b w:val="false"/>
                <w:color w:val="000000"/>
                <w:sz w:val="13"/>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price paid per share (including excise tax)</w:t>
            </w:r>
            <w:r>
              <w:rPr>
                <w:rFonts w:ascii="Times New Roman;serif" w:hAnsi="Times New Roman;serif"/>
                <w:b w:val="false"/>
                <w:color w:val="000000"/>
                <w:sz w:val="13"/>
              </w:rPr>
              <w: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stock repurchased (excluding excise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paid per share (excluding excise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 Stock repurchase amounts include the 1% surcharge on stock repurchases under the Inflation Reduction Act’s excise tax. This excise tax is recorded in equity and reduces the amount available under the repurchase program, as applicable.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common stock repurchased and held as treasury stock under the cost method using the first-in, first-out method. Upon reissuance of treasury stock, amounts in excess of the acquisition cost are credited to additional paid in capital. If we reissue treasury stock at an amount below our acquisition cost and additional paid in capital associated with prior treasury stock transactions is insufficient to cover the difference between the acquisition cost and the reissue price, this difference is recorded against retained earnings. </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March 2026 and December 2025, our Board of Directors declared quarterly cash dividends in the amount of $0.53, $0.53 and $0.46 per share, respectively. The dividend declared in June 2026 is payable in September 2026. Dividends paid during the nine months ended July 26, 2026 and July 27, 2025 totaled $1.2 billion and $1.0 billion, respectively. 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 </w:t>
      </w:r>
    </w:p>
    <w:p>
      <w:pPr>
        <w:pStyle w:val="TextBody"/>
        <w:bidi w:val="0"/>
        <w:spacing w:lineRule="auto" w:line="288" w:before="120" w:after="283"/>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including in the event of a change in control. In addition, we have an Omnibus Employees’ Stock Purchase Plan (ESPP), which enables eligible employees to purchase our common stock.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July 26, 2026 and July 27, 2025, we recognized share-based compensation expense related to share-based awards and ESPP shares. The effect of share-based compensation on the results of operations was as follows: </w:t>
      </w:r>
    </w:p>
    <w:tbl>
      <w:tblPr>
        <w:tblW w:w="7545" w:type="dxa"/>
        <w:jc w:val="left"/>
        <w:tblInd w:w="0" w:type="dxa"/>
        <w:tblLayout w:type="fixed"/>
        <w:tblCellMar>
          <w:top w:w="28" w:type="dxa"/>
          <w:left w:w="28" w:type="dxa"/>
          <w:bottom w:w="28" w:type="dxa"/>
          <w:right w:w="28" w:type="dxa"/>
        </w:tblCellMar>
      </w:tblPr>
      <w:tblGrid>
        <w:gridCol w:w="1222"/>
        <w:gridCol w:w="1074"/>
        <w:gridCol w:w="107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cost associated with share-based awards is typically recognized over the awards’ service period for the entire award on a straight-line basis, adjusting for estimated forfeitures. However, in the case of share-based awards granted to certain members of senior management that allow for partial accelerated vesting in the event of a qualifying retirement based on age and years of service, the compensation expense is recognized once the individual meets the conditions for a qualifying retirement. We calculate the estimated forfeiture rate on an annual basis, based on historical forfeiture activities. The cost associated with share-based awards that include performance and/or market goals is recognized for each tranche over the service period. The cost of the portion of share-based awards subject to performance goals is recognized based on an assessment of the likelihood that the applicable performance goals will be achieved, and the cost of the portion of share-based awards subject to market goals is recognized based on the assumption of 100% achievement of the goal.</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July 26, 2026, we had $1.2 billion in total unrecognized compensation expense, net of estimated forfeitures, related to grants of share-based awards under the ESIP and shares issued under the ESPP, which will be recognized over a weighted average period of 2.7 years. As of July 26, 2026, there were 15 million shares available for grant of share-based awards under the ESIP, and an additional 7 million shares available for issuance under the ESPP.</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 Restricted Stock, Performance Share Units and Performance Units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changes in restricted stock units, restricted stock, performance share units and performance units outstanding under our equity compensation plans during the nine months ended July 26, 2026 is presented below:</w:t>
      </w:r>
    </w:p>
    <w:tbl>
      <w:tblPr>
        <w:tblW w:w="6387" w:type="dxa"/>
        <w:jc w:val="left"/>
        <w:tblInd w:w="0" w:type="dxa"/>
        <w:tblLayout w:type="fixed"/>
        <w:tblCellMar>
          <w:top w:w="28" w:type="dxa"/>
          <w:left w:w="28" w:type="dxa"/>
          <w:bottom w:w="28" w:type="dxa"/>
          <w:right w:w="28" w:type="dxa"/>
        </w:tblCellMar>
      </w:tblPr>
      <w:tblGrid>
        <w:gridCol w:w="1087"/>
        <w:gridCol w:w="954"/>
        <w:gridCol w:w="959"/>
        <w:gridCol w:w="211"/>
        <w:gridCol w:w="211"/>
        <w:gridCol w:w="212"/>
        <w:gridCol w:w="118"/>
        <w:gridCol w:w="118"/>
        <w:gridCol w:w="118"/>
        <w:gridCol w:w="388"/>
        <w:gridCol w:w="1330"/>
        <w:gridCol w:w="200"/>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October 26, 2025</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July 26, 2026</w:t>
            </w:r>
          </w:p>
        </w:tc>
        <w:tc>
          <w:tcPr>
            <w:tcW w:w="4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July 26, 2026, 0.7 million additional performance-based awards could be earned based upon achievement of certain levels of specified performance and/or market goals.</w:t>
      </w:r>
    </w:p>
    <w:p>
      <w:pPr>
        <w:pStyle w:val="TextBody"/>
        <w:bidi w:val="0"/>
        <w:spacing w:lineRule="auto" w:line="288" w:before="12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weighted-average grant date fair value per share of the granted restricted stock units, restricted stock, performance share units and performance units and total fair value vested awards for indicated periods is presented below:</w:t>
      </w:r>
    </w:p>
    <w:tbl>
      <w:tblPr>
        <w:tblW w:w="8443" w:type="dxa"/>
        <w:jc w:val="left"/>
        <w:tblInd w:w="0" w:type="dxa"/>
        <w:tblLayout w:type="fixed"/>
        <w:tblCellMar>
          <w:top w:w="28" w:type="dxa"/>
          <w:left w:w="28" w:type="dxa"/>
          <w:bottom w:w="28" w:type="dxa"/>
          <w:right w:w="28" w:type="dxa"/>
        </w:tblCellMar>
      </w:tblPr>
      <w:tblGrid>
        <w:gridCol w:w="1990"/>
        <w:gridCol w:w="1744"/>
        <w:gridCol w:w="1756"/>
        <w:gridCol w:w="254"/>
        <w:gridCol w:w="868"/>
        <w:gridCol w:w="131"/>
        <w:gridCol w:w="131"/>
        <w:gridCol w:w="131"/>
        <w:gridCol w:w="131"/>
        <w:gridCol w:w="254"/>
        <w:gridCol w:w="868"/>
        <w:gridCol w:w="185"/>
      </w:tblGrid>
      <w:tr>
        <w:trPr/>
        <w:tc>
          <w:tcPr>
            <w:tcW w:w="199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 of awards granted</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vested awards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certain members of senior management were granted both awards subject solely to time-based vesting requirements and awards that are subject to the achievement of certain levels of specific performance and market goals, in addition to time-based vesting requirements (Performance-Based Awards). These Performance-Based Awards are subject to the achievement of targeted levels of non-GAAP economic profit and targeted levels of total shareholder return (TSR) relative to the TSR of the companies in the Standard &amp; Poor’s 500 Index. Each of these two metrics will be weighted 50% and will be measured over a three-year period. </w:t>
      </w:r>
    </w:p>
    <w:p>
      <w:pPr>
        <w:pStyle w:val="TextBody"/>
        <w:bidi w:val="0"/>
        <w:spacing w:lineRule="auto" w:line="268" w:before="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number of Performance-Based Awards that may vest in full after three years ranges from 0% to 200% of the target amount. The awards become eligible to vest only if the goals are achieved and will vest only if the grantee remains employed by us through each applicable vesting date, subject to a qualifying retirement based on age and years of service. The awards provide for a partial vesting based on actual performance at the conclusion of the three-year performance period in the event of a qualifying retirement.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20" w:after="100"/>
        <w:ind w:left="0" w:right="0" w:firstLine="225"/>
        <w:jc w:val="both"/>
        <w:rPr/>
      </w:pPr>
      <w:r>
        <w:rPr>
          <w:rFonts w:ascii="Times New Roman;serif" w:hAnsi="Times New Roman;serif"/>
          <w:b w:val="false"/>
          <w:i/>
          <w:color w:val="000000"/>
          <w:sz w:val="20"/>
        </w:rPr>
        <w:t>Omnibus Employees</w:t>
      </w:r>
      <w:r>
        <w:rPr>
          <w:color w:val="000000"/>
        </w:rPr>
        <w:t xml:space="preserve">’ </w:t>
      </w:r>
      <w:r>
        <w:rPr>
          <w:rFonts w:ascii="Times New Roman;serif" w:hAnsi="Times New Roman;serif"/>
          <w:b w:val="false"/>
          <w:i/>
          <w:color w:val="000000"/>
          <w:sz w:val="20"/>
        </w:rPr>
        <w:t>Stock Purchase Plan</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ESPP, substantially all employees may purchase our common stock through payroll deductions at a price equal to 85 percent of the lower of the fair market value of our common stock at the beginning or end of each 6-month purchase period, subject to certain limits. Our purchasing cycles begin in March and September of each fiscal year. We issued a total of 1 million shares in each of the nine months ended July 26, 2026 and July 27, 2025. Compensation expense is calculated using the fair value of the employees’ purchase rights under the Black-Scholes model. Underlying assumptions used in the model are outlined in the following table:</w:t>
      </w:r>
    </w:p>
    <w:tbl>
      <w:tblPr>
        <w:tblW w:w="5237" w:type="dxa"/>
        <w:jc w:val="left"/>
        <w:tblInd w:w="0" w:type="dxa"/>
        <w:tblLayout w:type="fixed"/>
        <w:tblCellMar>
          <w:top w:w="28" w:type="dxa"/>
          <w:left w:w="28" w:type="dxa"/>
          <w:bottom w:w="28" w:type="dxa"/>
          <w:right w:w="28" w:type="dxa"/>
        </w:tblCellMar>
      </w:tblPr>
      <w:tblGrid>
        <w:gridCol w:w="1167"/>
        <w:gridCol w:w="1028"/>
        <w:gridCol w:w="1030"/>
        <w:gridCol w:w="276"/>
        <w:gridCol w:w="276"/>
        <w:gridCol w:w="230"/>
        <w:gridCol w:w="165"/>
        <w:gridCol w:w="165"/>
        <w:gridCol w:w="165"/>
        <w:gridCol w:w="215"/>
        <w:gridCol w:w="215"/>
        <w:gridCol w:w="305"/>
      </w:tblGrid>
      <w:tr>
        <w:trPr/>
        <w:tc>
          <w:tcPr>
            <w:tcW w:w="11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42.3%</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4.27%</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estimated fair value</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$109.16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$41.47</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rates for the third quarter of fiscal 2026 and 2025 were 12.7 percent and 30.6 percent, respectively. The effective tax rate for the third quarter of fiscal 2026 was lower compared to the same period in the prior fiscal year, primarily due to the recognition of a valuation allowance against deferred tax assets related to corporate alternative minimum tax (CAMT) credits in fiscal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effective tax rates for the first nine months of fiscal 2026 and 2025 were 12.9 percent and 27.2 percent, respectively. The effective tax rate for the first nine months of fiscal 2026 was lower than the same period in the prior fiscal year, primarily due to a remeasurement of deferred tax assets resulting from new tax incentive agreements in Singapore, and the recognition of a valuation allowance against deferred tax assets related to CAMT credits in fiscal 2025.</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erif" w:hAnsi="Times New Roman;serif"/>
          <w:b/>
          <w:color w:val="000000"/>
          <w:sz w:val="20"/>
        </w:rPr>
        <w:t>Note 13      Guarantees, Commitments and Contingencies</w:t>
      </w:r>
      <w:r>
        <w:rPr>
          <w:color w:val="000000"/>
        </w:rPr>
        <w:t>    </w:t>
      </w:r>
    </w:p>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provide standby letters of credit or other guarantee instruments to third parties as required for certain transactions initiated by either us or our subsidiaries. As of July 26, 2026, the maximum potential amount of future payments that we could be required to make under these guarantee agreements was approximately $282 million. We have not recorded any liability in connection with these guarantee agreements beyond that required to appropriately account for the underlying transaction being guaranteed. We do not believe, based on historical experience and information currently available, that it is probable that any amounts will be required to be paid under these guarantee agreements.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also have agreements with various banks to facilitate subsidiary banking operations worldwide, including overdraft arrangements, issuance of bank guarantees, and letters of credit. As of July 26, 2026, we have provided parent guarantees to banks for approximately $293 million to cover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we receive notification from third parties, including customers and suppliers, seeking indemnification, litigation support, payment of money or other actions by us in connection with claims made against them. In addition, from time to time, we receive notification from third parties claiming that we may be or are infringing or misusing their intellectual property or other rights. We also are subject to various legal proceedings, government investigations or inquiries, and claims, both asserted and unasserted, that arise in the ordinary course of business. These matters are subject to uncertainties, and we cannot predict the outcome of these matters, or governmental inquiries or proceedings that may occur. Although the outcome of the above-described matters, claims and proceedings cannot be predicted with certainty, we do not believe at this time that any of the above-described matters will have a material effect on our consolidated financial condition or results of operations.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previously disclosed, on February 11, 2026, we entered into a settlement agreement with the U.S. Commerce Department Bureau of Industry and Security (BIS) to resolve its inquiry relating to certain China customer shipments and export controls compliance and agreed to pay BIS an amount of $253 million, which we paid in full during our second quarter of fiscal 2026. The settlement agreement with BIS requires us to conduct internal audits of our export controls compliance program and maintain export compliance training and reporting mechanisms. The settlement agreement also includes a denial order that is suspended and will be waived three years after the date of the order issued under the settlement agreement, provided that we have timely completed the audit requirements.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900"/>
        <w:jc w:val="left"/>
        <w:rPr>
          <w:rFonts w:ascii="Times New Roman;serif" w:hAnsi="Times New Roman;serif"/>
          <w:b/>
          <w:color w:val="000000"/>
          <w:sz w:val="20"/>
        </w:rPr>
      </w:pPr>
      <w:r>
        <w:rPr>
          <w:rFonts w:ascii="Times New Roman;serif" w:hAnsi="Times New Roman;serif"/>
          <w:b/>
          <w:color w:val="000000"/>
          <w:sz w:val="20"/>
        </w:rPr>
        <w:t>Note 14      Industry Segment Operations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two reportable segments are: Semiconductor Systems and Applied Global Services (AGS). Segment information is presented based upon our management organization structure as of July 26, 2026 and the distinctive nature of each segment. Future changes to this internal financial structure may result in changes to our reportable segments.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Semiconductor Systems segment includes semiconductor capital equipment to enable materials engineering steps including etch, rapid thermal processing, deposition, chemical mechanical planarization, metrology and inspection, wafer packaging, and ion implantation.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AGS segment provides integrated solutions to optimize equipment and fab performance and productivity, including services, spares and factory automation software for semiconductor and other products.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Effective the first quarter of fiscal 2026, we have moved our 200 millimeter (200mm) equipment business from our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President and Chief Executive Officer is our chief operating decision-maker (CODM). We derive the segment results directly from our internal management reporting system. The accounting policies we use to derive reportable segment results are substantially the same as those used for external reporting purposes. Management measures the performance of each reportable segment based upon several metrics including orders, revenue and operating income. Our CODM regularly reviews segment operating income to evaluate the performance of, and to assign resources to, each of the reportable segments. Actual results are compared to budgeted amounts as part of the CODM’s assessment of each segment’s performance and to make decisions about allocating resources to each segment. Our CODM does not evaluate operating segments using total asset information.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 Our CODM does not consider the unallocated costs in measuring the performance of the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for each reportable segment for and as of the end of each reporting period was as follows:</w:t>
      </w:r>
    </w:p>
    <w:tbl>
      <w:tblPr>
        <w:tblW w:w="10097" w:type="dxa"/>
        <w:jc w:val="left"/>
        <w:tblInd w:w="0" w:type="dxa"/>
        <w:tblLayout w:type="fixed"/>
        <w:tblCellMar>
          <w:top w:w="28" w:type="dxa"/>
          <w:left w:w="28" w:type="dxa"/>
          <w:bottom w:w="28" w:type="dxa"/>
          <w:right w:w="28" w:type="dxa"/>
        </w:tblCellMar>
      </w:tblPr>
      <w:tblGrid>
        <w:gridCol w:w="1223"/>
        <w:gridCol w:w="1073"/>
        <w:gridCol w:w="1079"/>
        <w:gridCol w:w="344"/>
        <w:gridCol w:w="1009"/>
        <w:gridCol w:w="446"/>
        <w:gridCol w:w="109"/>
        <w:gridCol w:w="109"/>
        <w:gridCol w:w="109"/>
        <w:gridCol w:w="351"/>
        <w:gridCol w:w="1027"/>
        <w:gridCol w:w="451"/>
        <w:gridCol w:w="109"/>
        <w:gridCol w:w="109"/>
        <w:gridCol w:w="109"/>
        <w:gridCol w:w="109"/>
        <w:gridCol w:w="211"/>
        <w:gridCol w:w="541"/>
        <w:gridCol w:w="109"/>
        <w:gridCol w:w="109"/>
        <w:gridCol w:w="109"/>
        <w:gridCol w:w="109"/>
        <w:gridCol w:w="211"/>
        <w:gridCol w:w="616"/>
        <w:gridCol w:w="316"/>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Semiconductor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Applied Global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143" w:type="dxa"/>
            <w:gridSpan w:val="3"/>
            <w:tcBorders/>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26, 2026</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expenses:</w:t>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3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4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4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July 26, 2026</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7"/>
        <w:gridCol w:w="923"/>
        <w:gridCol w:w="926"/>
        <w:gridCol w:w="296"/>
        <w:gridCol w:w="1014"/>
        <w:gridCol w:w="380"/>
        <w:gridCol w:w="109"/>
        <w:gridCol w:w="109"/>
        <w:gridCol w:w="109"/>
        <w:gridCol w:w="325"/>
        <w:gridCol w:w="952"/>
        <w:gridCol w:w="418"/>
        <w:gridCol w:w="109"/>
        <w:gridCol w:w="109"/>
        <w:gridCol w:w="109"/>
        <w:gridCol w:w="109"/>
        <w:gridCol w:w="211"/>
        <w:gridCol w:w="616"/>
        <w:gridCol w:w="109"/>
        <w:gridCol w:w="109"/>
        <w:gridCol w:w="109"/>
        <w:gridCol w:w="109"/>
        <w:gridCol w:w="211"/>
        <w:gridCol w:w="721"/>
        <w:gridCol w:w="271"/>
        <w:gridCol w:w="109"/>
        <w:gridCol w:w="109"/>
        <w:gridCol w:w="109"/>
        <w:gridCol w:w="109"/>
        <w:gridCol w:w="159"/>
      </w:tblGrid>
      <w:tr>
        <w:trPr/>
        <w:tc>
          <w:tcPr>
            <w:tcW w:w="1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Semiconductor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Applied Global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July 26, 2026</w:t>
            </w:r>
          </w:p>
        </w:tc>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31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6"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tbl>
      <w:tblPr>
        <w:tblW w:w="10022" w:type="dxa"/>
        <w:jc w:val="left"/>
        <w:tblInd w:w="0" w:type="dxa"/>
        <w:tblLayout w:type="fixed"/>
        <w:tblCellMar>
          <w:top w:w="28" w:type="dxa"/>
          <w:left w:w="28" w:type="dxa"/>
          <w:bottom w:w="28" w:type="dxa"/>
          <w:right w:w="28" w:type="dxa"/>
        </w:tblCellMar>
      </w:tblPr>
      <w:tblGrid>
        <w:gridCol w:w="1223"/>
        <w:gridCol w:w="1073"/>
        <w:gridCol w:w="1079"/>
        <w:gridCol w:w="344"/>
        <w:gridCol w:w="1009"/>
        <w:gridCol w:w="446"/>
        <w:gridCol w:w="109"/>
        <w:gridCol w:w="109"/>
        <w:gridCol w:w="109"/>
        <w:gridCol w:w="351"/>
        <w:gridCol w:w="1027"/>
        <w:gridCol w:w="451"/>
        <w:gridCol w:w="109"/>
        <w:gridCol w:w="109"/>
        <w:gridCol w:w="109"/>
        <w:gridCol w:w="109"/>
        <w:gridCol w:w="211"/>
        <w:gridCol w:w="466"/>
        <w:gridCol w:w="109"/>
        <w:gridCol w:w="109"/>
        <w:gridCol w:w="109"/>
        <w:gridCol w:w="109"/>
        <w:gridCol w:w="211"/>
        <w:gridCol w:w="616"/>
        <w:gridCol w:w="316"/>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Semiconductor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Applied Global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143" w:type="dxa"/>
            <w:gridSpan w:val="3"/>
            <w:tcBorders/>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July 27, 2025</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2,970 </w:t>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4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expenses:</w:t>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3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4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4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July 27, 2025</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13"/>
        <w:gridCol w:w="1056"/>
        <w:gridCol w:w="1060"/>
        <w:gridCol w:w="312"/>
        <w:gridCol w:w="1071"/>
        <w:gridCol w:w="402"/>
        <w:gridCol w:w="109"/>
        <w:gridCol w:w="109"/>
        <w:gridCol w:w="109"/>
        <w:gridCol w:w="348"/>
        <w:gridCol w:w="1018"/>
        <w:gridCol w:w="447"/>
        <w:gridCol w:w="109"/>
        <w:gridCol w:w="109"/>
        <w:gridCol w:w="109"/>
        <w:gridCol w:w="109"/>
        <w:gridCol w:w="211"/>
        <w:gridCol w:w="616"/>
        <w:gridCol w:w="109"/>
        <w:gridCol w:w="109"/>
        <w:gridCol w:w="109"/>
        <w:gridCol w:w="109"/>
        <w:gridCol w:w="211"/>
        <w:gridCol w:w="721"/>
        <w:gridCol w:w="320"/>
      </w:tblGrid>
      <w:tr>
        <w:trPr/>
        <w:tc>
          <w:tcPr>
            <w:tcW w:w="121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Semiconductor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Applied Global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1252" w:type="dxa"/>
            <w:gridSpan w:val="3"/>
            <w:tcBorders/>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July 27, 2025</w:t>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3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Times New Roman;serif" w:hAnsi="Times New Roman;serif"/>
          <w:b w:val="false"/>
          <w:color w:val="000000"/>
          <w:sz w:val="20"/>
        </w:rPr>
      </w:pPr>
      <w:r>
        <w:rPr>
          <w:rFonts w:ascii="Times New Roman;serif" w:hAnsi="Times New Roman;serif"/>
          <w:b w:val="false"/>
          <w:color w:val="000000"/>
          <w:sz w:val="20"/>
        </w:rPr>
        <w:t>Semiconductor Systems revenue is recognized at a point in time. AGS revenue is recognized at a point in time for tangible goods such as spare parts and equipment, and over time for service agreements. The majority of revenue recognized over time is recognized within 12 months of the contract inception.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Two customers accounted for approximately 20% and 14%, respectively, of our revenue for the nine months ended July 26, 2026. No other customer accounted for greater than 10% of our revenue for the nine months ended July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APPLIED MATERIALS,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CONSOLIDATED CONDENSED FINANCIAL STATEMENTS - (Continued)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Semiconductor Systems by market for the periods presented was as follows:</w:t>
      </w:r>
    </w:p>
    <w:tbl>
      <w:tblPr>
        <w:tblW w:w="8091" w:type="dxa"/>
        <w:jc w:val="left"/>
        <w:tblInd w:w="0" w:type="dxa"/>
        <w:tblLayout w:type="fixed"/>
        <w:tblCellMar>
          <w:top w:w="28" w:type="dxa"/>
          <w:left w:w="28" w:type="dxa"/>
          <w:bottom w:w="28" w:type="dxa"/>
          <w:right w:w="28" w:type="dxa"/>
        </w:tblCellMar>
      </w:tblPr>
      <w:tblGrid>
        <w:gridCol w:w="1281"/>
        <w:gridCol w:w="1125"/>
        <w:gridCol w:w="1133"/>
        <w:gridCol w:w="232"/>
        <w:gridCol w:w="234"/>
        <w:gridCol w:w="382"/>
        <w:gridCol w:w="134"/>
        <w:gridCol w:w="134"/>
        <w:gridCol w:w="134"/>
        <w:gridCol w:w="232"/>
        <w:gridCol w:w="234"/>
        <w:gridCol w:w="382"/>
        <w:gridCol w:w="109"/>
        <w:gridCol w:w="109"/>
        <w:gridCol w:w="109"/>
        <w:gridCol w:w="232"/>
        <w:gridCol w:w="234"/>
        <w:gridCol w:w="382"/>
        <w:gridCol w:w="126"/>
        <w:gridCol w:w="126"/>
        <w:gridCol w:w="126"/>
        <w:gridCol w:w="232"/>
        <w:gridCol w:w="234"/>
        <w:gridCol w:w="435"/>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logic and other</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Dynamic random-access memory (DRAM)</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memory (NAND)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determined by the location of customers’ facilities to which products were shipped and services were performed, was as follows:</w:t>
      </w:r>
    </w:p>
    <w:tbl>
      <w:tblPr>
        <w:tblW w:w="12373" w:type="dxa"/>
        <w:jc w:val="left"/>
        <w:tblInd w:w="0" w:type="dxa"/>
        <w:tblLayout w:type="fixed"/>
        <w:tblCellMar>
          <w:top w:w="28" w:type="dxa"/>
          <w:left w:w="28" w:type="dxa"/>
          <w:bottom w:w="28" w:type="dxa"/>
          <w:right w:w="28" w:type="dxa"/>
        </w:tblCellMar>
      </w:tblPr>
      <w:tblGrid>
        <w:gridCol w:w="331"/>
        <w:gridCol w:w="290"/>
        <w:gridCol w:w="295"/>
        <w:gridCol w:w="211"/>
        <w:gridCol w:w="616"/>
        <w:gridCol w:w="109"/>
        <w:gridCol w:w="109"/>
        <w:gridCol w:w="109"/>
        <w:gridCol w:w="109"/>
        <w:gridCol w:w="232"/>
        <w:gridCol w:w="234"/>
        <w:gridCol w:w="271"/>
        <w:gridCol w:w="109"/>
        <w:gridCol w:w="109"/>
        <w:gridCol w:w="109"/>
        <w:gridCol w:w="211"/>
        <w:gridCol w:w="616"/>
        <w:gridCol w:w="109"/>
        <w:gridCol w:w="109"/>
        <w:gridCol w:w="109"/>
        <w:gridCol w:w="109"/>
        <w:gridCol w:w="232"/>
        <w:gridCol w:w="234"/>
        <w:gridCol w:w="271"/>
        <w:gridCol w:w="109"/>
        <w:gridCol w:w="109"/>
        <w:gridCol w:w="109"/>
        <w:gridCol w:w="232"/>
        <w:gridCol w:w="234"/>
        <w:gridCol w:w="367"/>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80"/>
        <w:gridCol w:w="181"/>
        <w:gridCol w:w="41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7"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Asia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provided in addition to the accompanying consolidated condensed financial statements and notes, and for a full understanding of our results of operations and financial condition should be read in conjunction with the consolidated condensed financial statements and notes included in this Form 10-Q and the financial statements and notes for the fiscal year ended October 26, 2025 contained in our Form 10-K filed on December 12,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that involve a number of risks and uncertainties. Examples of forward-looking statements include those regarding our future financial or operating results, customer demand and spending, end-user demand, trends and outlooks in our markets and industries,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matters, claims and proceedings,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II, Item 1A, “Risk Factors,” below and elsewhere in this report. These and many other factors could affect our future financial condition and operating results and could cause actual results to differ materially from expectations based on forward-looking statements made in this document or elsewhere by us or on our behalf. Forward-looking statements are based on management’s estimates, projections and expectations as of the date hereof, and we undertake no obligation to revise or update any such statements.</w:t>
      </w:r>
    </w:p>
    <w:p>
      <w:pPr>
        <w:pStyle w:val="TextBody"/>
        <w:bidi w:val="0"/>
        <w:spacing w:before="18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equipment, services and software to the semiconductor and related industries. Our customers include manufacturers of semiconductor wafers and chips and other electronic devices. Our customers’ products are used in a wide variety of products such as personal computing devices, mobile phones, artificial intelligence (AI) and data center servers, automobiles, connected devices, industrial applications and consumer electronics. Each of our segments is subject to variable industry conditions, as demand for equipment and services can change depending on supply and demand for chips and other electronic devices, as well as other factors, such as global economic, political and market conditions, and the nature and timing of technological advances in fabrication processes.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strategic priorities include developing products that help solve customers’ challenges at technology inflections, growing our service business, and expanding our served market opportunities in the semiconductor industry. Our long-term growth strategy requires continued development of new materials engineering capabilities, including products and platforms that enable expansion into new and adjacent markets. Our significant investments in research, development and engineering (RD&amp;E) are intended to enable us to deliver new products and technologies before the emergence of strong demand, allowing customers to incorporate these products into their manufacturing plans during early-stage technology selection. We collaborate closely with our global customers to design systems and processes to meet their technical and production requirements.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future operating results depend to a considerable extent on our ability to maintain a competitive advantage in the equipment and service products we provide. Development cycles depend on whether the product is an enhancement of an existing product, which typically has a shorter development cycle, or a new product, which typically has a longer development cycle. Most of our existing products resulted from internal development activities and innovations involving new technologies, materials and processes. In certain instances, we acquire technologies, either in existing or new product areas, to complement our existing technology capabilities and to reduce time to market. Product development and manufacturing activities occur primarily in the United States, Europe, Israel, and Asia. Our portfolio of equipment and service products is highly technical and is sold primarily through a direct sales force.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it is critical to make substantial investments in RD&amp;E to assure the availability of innovative technology that meets the current and projected requirements of our customers’ most advanced designs. We have invested and continue to invest in RD&amp;E in order to continue to offer new products and technologies.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two reportable segments: Semiconductor Systems and Applied Global Services® (AGS). A summary of financial information for each reportable segment is found in Note 14 of Notes to Consolidated Condensed Financial Statements. A discussion of factors that could affect our operations is set forth under “Risk Factors” in Part II, Item 1A, which is incorporated herein by reference.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results are driven primarily by customer spending on capital equipment and services to support key technology transitions or changes in production volume in response to worldwide demand for semiconductors.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Semiconductor Systems segment is comprised primarily of capital equipment used to fabricate semiconductor chips. Spending by semiconductor customers, which include companies that operate in the foundry, logic, memory, and other semiconductor chip markets, is driven by demand for products such as smartphones, mobile devices, personal computers (PC), servers for AI and data centers, automobiles, clean energy, storage, and other products, and the nature and timing of technological advances in fabrication processes. The growth of data and emerging end-market drivers such as AI, the internet of things, robotics and smart vehicles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Spending can also depend on customer facility readiness and timeline for installation of capital equipment at customer sites. Development efforts are focused on solving customers’ key technical challenges in patterning, transistor, interconnect, process control, and packaging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AGS segment provides services, spares and factory automation software to customer fabrication plants globally to help customers optimize performance of our large, global installed base of semiconductor and other products. Demand for AGS’ service and spares is driven by our large and growing installed base of manufacturing systems, and customers’ needs to shorten ramp times, improve system performance, and optimize factory output and operating costs. Industry conditions that affect AGS’ sales of spares and services are primarily characterized by changes in semiconductor manufacturers’ wafer starts and utilization rates, growth of the installed base of equipment and growing service intensity of newer tools. Our strategy is to continue to shift the AGS’ service and spares business to a subscription agreement model, improving customer factory performance and optimizing operating costs, and providing us a more predictable revenue stream.</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Effective the first quarter of fiscal 2026, we have moved our 200 millimeter (200mm) equipment business from our AGS segment to our Semiconductor Systems segment. We made this change in order to increase our operational efficiency and consolidate the reporting of our 200mm equipment with the reporting of our other capital equipment used to fabricate semiconductor chips in our Semiconductor Systems segment. In addition, effective in the first quarter of fiscal 2026, we are fully allocating corporate support costs to our reportable segments. Prior-period segment balances have been recast to conform to the current-year presentation.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Other category includes revenues, costs of products and operating expenses from other operating segments that do not meet the requirements for a reportable segment.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 </w:t>
      </w:r>
    </w:p>
    <w:p>
      <w:pPr>
        <w:pStyle w:val="TextBody"/>
        <w:bidi w:val="0"/>
        <w:spacing w:lineRule="auto" w:line="288" w:before="120" w:after="120"/>
        <w:ind w:left="0" w:right="0" w:firstLine="495"/>
        <w:jc w:val="both"/>
        <w:rPr/>
      </w:pPr>
      <w:r>
        <w:rPr>
          <w:rFonts w:ascii="Times New Roman;serif" w:hAnsi="Times New Roman;serif"/>
          <w:b w:val="false"/>
          <w:color w:val="000000"/>
          <w:sz w:val="20"/>
        </w:rPr>
        <w:t>The United States government has implemented export regulations for U.S. semiconductor technology sold or provided to customers in China, which have limited our ability to provide certain products and services to customers in China, over the past several years. The U.S. government continues to issue new export licensing requirements, and additional updates and other requirements that have had the effect of further limiting our ability to provide certain products and services to customers outside the U.S., including in China. Also,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For a description of these risks, see the risk factors entitled “</w:t>
      </w:r>
      <w:r>
        <w:rPr>
          <w:rFonts w:ascii="Times New Roman;serif" w:hAnsi="Times New Roman;serif"/>
          <w:b w:val="false"/>
          <w:i/>
          <w:color w:val="000000"/>
          <w:sz w:val="20"/>
        </w:rPr>
        <w:t>Business and Industry Risks - 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Business and Industry Risks - We are exposed to risks and uncertainty related to changes in trade policies, and increased tariffs and trade disputes</w:t>
      </w:r>
      <w:r>
        <w:rPr>
          <w:color w:val="000000"/>
        </w:rPr>
        <w:t xml:space="preserve">” </w:t>
      </w:r>
      <w:r>
        <w:rPr>
          <w:rFonts w:ascii="Times New Roman;serif" w:hAnsi="Times New Roman;serif"/>
          <w:b w:val="false"/>
          <w:color w:val="000000"/>
          <w:sz w:val="20"/>
        </w:rPr>
        <w:t>in Part II,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ind w:left="0" w:right="0" w:firstLine="495"/>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Fiscal 2026 and 2025 each contain 52 weeks and the first nine months of fiscal 2026 and 2025 each contained 39 weeks. </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significant measurements for the periods presented: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11"/>
        <w:gridCol w:w="500"/>
        <w:gridCol w:w="503"/>
        <w:gridCol w:w="211"/>
        <w:gridCol w:w="616"/>
        <w:gridCol w:w="271"/>
        <w:gridCol w:w="109"/>
        <w:gridCol w:w="109"/>
        <w:gridCol w:w="109"/>
        <w:gridCol w:w="109"/>
        <w:gridCol w:w="109"/>
        <w:gridCol w:w="211"/>
        <w:gridCol w:w="616"/>
        <w:gridCol w:w="271"/>
        <w:gridCol w:w="109"/>
        <w:gridCol w:w="109"/>
        <w:gridCol w:w="109"/>
        <w:gridCol w:w="109"/>
        <w:gridCol w:w="109"/>
        <w:gridCol w:w="211"/>
        <w:gridCol w:w="616"/>
        <w:gridCol w:w="109"/>
        <w:gridCol w:w="109"/>
        <w:gridCol w:w="109"/>
        <w:gridCol w:w="109"/>
        <w:gridCol w:w="211"/>
        <w:gridCol w:w="721"/>
        <w:gridCol w:w="271"/>
        <w:gridCol w:w="109"/>
        <w:gridCol w:w="109"/>
        <w:gridCol w:w="109"/>
        <w:gridCol w:w="211"/>
        <w:gridCol w:w="721"/>
        <w:gridCol w:w="271"/>
        <w:gridCol w:w="109"/>
        <w:gridCol w:w="109"/>
        <w:gridCol w:w="109"/>
        <w:gridCol w:w="211"/>
        <w:gridCol w:w="616"/>
        <w:gridCol w:w="155"/>
      </w:tblGrid>
      <w:tr>
        <w:trPr/>
        <w:tc>
          <w:tcPr>
            <w:tcW w:w="6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839" w:type="dxa"/>
            <w:gridSpan w:val="12"/>
            <w:tcBorders/>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2"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 and percentages)</w:t>
            </w:r>
          </w:p>
        </w:tc>
        <w:tc>
          <w:tcPr>
            <w:tcW w:w="2839" w:type="dxa"/>
            <w:gridSpan w:val="12"/>
            <w:tcBorders/>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 points</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 points</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diluted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61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by segment for the periods presented was as follows:</w:t>
      </w:r>
    </w:p>
    <w:p>
      <w:pPr>
        <w:pStyle w:val="TextBody"/>
        <w:bidi w:val="0"/>
        <w:spacing w:before="120" w:after="120"/>
        <w:ind w:left="0" w:right="0" w:firstLine="450"/>
        <w:jc w:val="both"/>
        <w:rPr/>
      </w:pPr>
      <w:r>
        <w:rPr/>
      </w:r>
    </w:p>
    <w:tbl>
      <w:tblPr>
        <w:tblW w:w="13807" w:type="dxa"/>
        <w:jc w:val="left"/>
        <w:tblInd w:w="0" w:type="dxa"/>
        <w:tblLayout w:type="fixed"/>
        <w:tblCellMar>
          <w:top w:w="28" w:type="dxa"/>
          <w:left w:w="28" w:type="dxa"/>
          <w:bottom w:w="28" w:type="dxa"/>
          <w:right w:w="28" w:type="dxa"/>
        </w:tblCellMar>
      </w:tblPr>
      <w:tblGrid>
        <w:gridCol w:w="489"/>
        <w:gridCol w:w="430"/>
        <w:gridCol w:w="432"/>
        <w:gridCol w:w="211"/>
        <w:gridCol w:w="616"/>
        <w:gridCol w:w="109"/>
        <w:gridCol w:w="109"/>
        <w:gridCol w:w="109"/>
        <w:gridCol w:w="109"/>
        <w:gridCol w:w="232"/>
        <w:gridCol w:w="234"/>
        <w:gridCol w:w="271"/>
        <w:gridCol w:w="109"/>
        <w:gridCol w:w="109"/>
        <w:gridCol w:w="109"/>
        <w:gridCol w:w="109"/>
        <w:gridCol w:w="109"/>
        <w:gridCol w:w="109"/>
        <w:gridCol w:w="109"/>
        <w:gridCol w:w="211"/>
        <w:gridCol w:w="616"/>
        <w:gridCol w:w="109"/>
        <w:gridCol w:w="109"/>
        <w:gridCol w:w="109"/>
        <w:gridCol w:w="109"/>
        <w:gridCol w:w="232"/>
        <w:gridCol w:w="234"/>
        <w:gridCol w:w="271"/>
        <w:gridCol w:w="109"/>
        <w:gridCol w:w="109"/>
        <w:gridCol w:w="109"/>
        <w:gridCol w:w="661"/>
        <w:gridCol w:w="109"/>
        <w:gridCol w:w="180"/>
        <w:gridCol w:w="181"/>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67"/>
        <w:gridCol w:w="109"/>
        <w:gridCol w:w="109"/>
        <w:gridCol w:w="109"/>
        <w:gridCol w:w="361"/>
        <w:gridCol w:w="316"/>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532" w:type="dxa"/>
            <w:gridSpan w:val="18"/>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04"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532" w:type="dxa"/>
            <w:gridSpan w:val="18"/>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 Systems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Applied Global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Revenue for Semiconductor Systems by market for the periods presented was as follows:</w:t>
      </w:r>
    </w:p>
    <w:p>
      <w:pPr>
        <w:pStyle w:val="TextBody"/>
        <w:bidi w:val="0"/>
        <w:spacing w:before="0" w:after="0"/>
        <w:jc w:val="left"/>
        <w:rPr/>
      </w:pPr>
      <w:r>
        <w:rPr/>
      </w:r>
    </w:p>
    <w:tbl>
      <w:tblPr>
        <w:tblW w:w="8644" w:type="dxa"/>
        <w:jc w:val="left"/>
        <w:tblInd w:w="0" w:type="dxa"/>
        <w:tblLayout w:type="fixed"/>
        <w:tblCellMar>
          <w:top w:w="28" w:type="dxa"/>
          <w:left w:w="28" w:type="dxa"/>
          <w:bottom w:w="28" w:type="dxa"/>
          <w:right w:w="28" w:type="dxa"/>
        </w:tblCellMar>
      </w:tblPr>
      <w:tblGrid>
        <w:gridCol w:w="1281"/>
        <w:gridCol w:w="1125"/>
        <w:gridCol w:w="1133"/>
        <w:gridCol w:w="243"/>
        <w:gridCol w:w="223"/>
        <w:gridCol w:w="470"/>
        <w:gridCol w:w="189"/>
        <w:gridCol w:w="189"/>
        <w:gridCol w:w="189"/>
        <w:gridCol w:w="189"/>
        <w:gridCol w:w="109"/>
        <w:gridCol w:w="232"/>
        <w:gridCol w:w="234"/>
        <w:gridCol w:w="383"/>
        <w:gridCol w:w="126"/>
        <w:gridCol w:w="126"/>
        <w:gridCol w:w="126"/>
        <w:gridCol w:w="232"/>
        <w:gridCol w:w="234"/>
        <w:gridCol w:w="383"/>
        <w:gridCol w:w="109"/>
        <w:gridCol w:w="109"/>
        <w:gridCol w:w="109"/>
        <w:gridCol w:w="232"/>
        <w:gridCol w:w="234"/>
        <w:gridCol w:w="435"/>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1228" w:type="dxa"/>
            <w:gridSpan w:val="6"/>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Foundry, logic and other</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Dynamic random-access memory (DRAM)</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Flash memory (NAND)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3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Revenue in the three and nine months ended July 26, 2026 increased compared to the same periods in the prior year. Gross margin in the three and nine months ended July 26, 2026 increased compared to the same periods in the prior year primarily driven by higher revenue, increases in average selling prices, and lower material and manufacturing costs. The increase in gross margin in the three months ended July 26, 2026 was also driven by favorable changes in product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Semiconductor Systems segment remained our largest revenue contributor for which revenue increased for the three and nine months ended July 26, 2026, compared to the same periods in the prior year. The increase in foundry and logic customers’ spending for the three and nine months ended July 26, 2026 reflected stronger demand for leading-edge manufacturing technologies. For the nine months ended July 26, 2026, this increase was partially offset by lower customer demand for trailing-edge logic systems. Memory customers’ spending in the three and nine months ended July 26, 2026 was higher compared to the same periods in the prior year due to increased customer investments in DRAM technology transitions.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AGS revenue increased in the three and nine months ended July 26, 2026 compared to the same periods in the prior year primarily due to higher long-term service agreement revenue and customer spending on spares.</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 by geographic region, determined by the location of customers’ facilities to which products were shipped and services were performed, was as follows:</w:t>
      </w:r>
    </w:p>
    <w:tbl>
      <w:tblPr>
        <w:tblW w:w="13477" w:type="dxa"/>
        <w:jc w:val="left"/>
        <w:tblInd w:w="0" w:type="dxa"/>
        <w:tblLayout w:type="fixed"/>
        <w:tblCellMar>
          <w:top w:w="28" w:type="dxa"/>
          <w:left w:w="28" w:type="dxa"/>
          <w:bottom w:w="28" w:type="dxa"/>
          <w:right w:w="28" w:type="dxa"/>
        </w:tblCellMar>
      </w:tblPr>
      <w:tblGrid>
        <w:gridCol w:w="331"/>
        <w:gridCol w:w="290"/>
        <w:gridCol w:w="295"/>
        <w:gridCol w:w="211"/>
        <w:gridCol w:w="616"/>
        <w:gridCol w:w="109"/>
        <w:gridCol w:w="109"/>
        <w:gridCol w:w="109"/>
        <w:gridCol w:w="109"/>
        <w:gridCol w:w="232"/>
        <w:gridCol w:w="234"/>
        <w:gridCol w:w="271"/>
        <w:gridCol w:w="109"/>
        <w:gridCol w:w="109"/>
        <w:gridCol w:w="109"/>
        <w:gridCol w:w="109"/>
        <w:gridCol w:w="109"/>
        <w:gridCol w:w="109"/>
        <w:gridCol w:w="109"/>
        <w:gridCol w:w="211"/>
        <w:gridCol w:w="616"/>
        <w:gridCol w:w="109"/>
        <w:gridCol w:w="109"/>
        <w:gridCol w:w="109"/>
        <w:gridCol w:w="109"/>
        <w:gridCol w:w="232"/>
        <w:gridCol w:w="234"/>
        <w:gridCol w:w="271"/>
        <w:gridCol w:w="109"/>
        <w:gridCol w:w="109"/>
        <w:gridCol w:w="109"/>
        <w:gridCol w:w="661"/>
        <w:gridCol w:w="109"/>
        <w:gridCol w:w="231"/>
        <w:gridCol w:w="235"/>
        <w:gridCol w:w="271"/>
        <w:gridCol w:w="109"/>
        <w:gridCol w:w="109"/>
        <w:gridCol w:w="109"/>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67"/>
        <w:gridCol w:w="109"/>
        <w:gridCol w:w="109"/>
        <w:gridCol w:w="109"/>
        <w:gridCol w:w="361"/>
        <w:gridCol w:w="31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532" w:type="dxa"/>
            <w:gridSpan w:val="18"/>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04" w:type="dxa"/>
            <w:gridSpan w:val="6"/>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532" w:type="dxa"/>
            <w:gridSpan w:val="18"/>
            <w:tcBorders/>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 Asia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Operating expenses for the periods presented were as follows:</w:t>
      </w:r>
    </w:p>
    <w:tbl>
      <w:tblPr>
        <w:tblW w:w="10205" w:type="dxa"/>
        <w:jc w:val="left"/>
        <w:tblInd w:w="0" w:type="dxa"/>
        <w:tblLayout w:type="fixed"/>
        <w:tblCellMar>
          <w:top w:w="28" w:type="dxa"/>
          <w:left w:w="28" w:type="dxa"/>
          <w:bottom w:w="28" w:type="dxa"/>
          <w:right w:w="28" w:type="dxa"/>
        </w:tblCellMar>
      </w:tblPr>
      <w:tblGrid>
        <w:gridCol w:w="1094"/>
        <w:gridCol w:w="888"/>
        <w:gridCol w:w="890"/>
        <w:gridCol w:w="211"/>
        <w:gridCol w:w="616"/>
        <w:gridCol w:w="109"/>
        <w:gridCol w:w="109"/>
        <w:gridCol w:w="109"/>
        <w:gridCol w:w="109"/>
        <w:gridCol w:w="109"/>
        <w:gridCol w:w="109"/>
        <w:gridCol w:w="211"/>
        <w:gridCol w:w="466"/>
        <w:gridCol w:w="109"/>
        <w:gridCol w:w="109"/>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515"/>
        <w:gridCol w:w="156"/>
      </w:tblGrid>
      <w:tr>
        <w:trPr/>
        <w:tc>
          <w:tcPr>
            <w:tcW w:w="109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472" w:type="dxa"/>
            <w:gridSpan w:val="12"/>
            <w:tcBorders/>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472" w:type="dxa"/>
            <w:gridSpan w:val="12"/>
            <w:tcBorders/>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development and engineering (RD&amp;E)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(G&amp;A)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RD&amp;E expenses for the three and nine months ended July 26, 2026 increased compared to the same periods in the prior year, primarily due to additional headcount to support our ongoing investments in product development initiatives and higher depreciation expenses, consistent with our growth strategy. We continued to prioritize RD&amp;E investments in technical capabilities and critical RD&amp;E programs in current and new markets.</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Marketing and selling expenses for the three and nine months ended July 26, 2026 increased compared to the same periods in the prior year primarily due to higher employee related expenses and higher corporate support costs.</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G&amp;A expenses for the three and nine months ended July 26, 2026 decreased compared to the same periods in the prior year primarily due to lower corporate support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first nine months of fiscal 2026, we recorded a charge of $253 million related to a settlement agreement which resolved a previously disclosed export controls compliance matter. See the information under the heading “Legal Matters” in Note 13 of the Notes to Consolidated Condensed Financial Statements for information regarding this matter and the settlement agreement.</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first nine months of fiscal 2026, we recognized $12 million in restructuring charges, consisting primarily of severance and other employment termination benefits incurred in connection with the approved Fiscal 2025 Restructuring Plan.</w:t>
      </w:r>
    </w:p>
    <w:p>
      <w:pPr>
        <w:pStyle w:val="TextBody"/>
        <w:bidi w:val="0"/>
        <w:spacing w:lineRule="auto" w:line="288" w:before="24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Interest Expense and Interest and Other Income (expense), net</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and interest and other income (expense), net for the periods presented were as follows:</w:t>
      </w:r>
    </w:p>
    <w:tbl>
      <w:tblPr>
        <w:tblW w:w="10205" w:type="dxa"/>
        <w:jc w:val="left"/>
        <w:tblInd w:w="0" w:type="dxa"/>
        <w:tblLayout w:type="fixed"/>
        <w:tblCellMar>
          <w:top w:w="28" w:type="dxa"/>
          <w:left w:w="28" w:type="dxa"/>
          <w:bottom w:w="28" w:type="dxa"/>
          <w:right w:w="28" w:type="dxa"/>
        </w:tblCellMar>
      </w:tblPr>
      <w:tblGrid>
        <w:gridCol w:w="1126"/>
        <w:gridCol w:w="975"/>
        <w:gridCol w:w="983"/>
        <w:gridCol w:w="211"/>
        <w:gridCol w:w="534"/>
        <w:gridCol w:w="109"/>
        <w:gridCol w:w="109"/>
        <w:gridCol w:w="109"/>
        <w:gridCol w:w="109"/>
        <w:gridCol w:w="109"/>
        <w:gridCol w:w="109"/>
        <w:gridCol w:w="211"/>
        <w:gridCol w:w="466"/>
        <w:gridCol w:w="109"/>
        <w:gridCol w:w="109"/>
        <w:gridCol w:w="109"/>
        <w:gridCol w:w="109"/>
        <w:gridCol w:w="109"/>
        <w:gridCol w:w="109"/>
        <w:gridCol w:w="211"/>
        <w:gridCol w:w="534"/>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57"/>
      </w:tblGrid>
      <w:tr>
        <w:trPr/>
        <w:tc>
          <w:tcPr>
            <w:tcW w:w="112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274" w:type="dxa"/>
            <w:gridSpan w:val="12"/>
            <w:tcBorders/>
          </w:tcPr>
          <w:p>
            <w:pPr>
              <w:pStyle w:val="TableContents"/>
              <w:bidi w:val="0"/>
              <w:spacing w:before="0" w:after="283"/>
              <w:jc w:val="left"/>
              <w:rPr>
                <w:sz w:val="4"/>
                <w:szCs w:val="4"/>
              </w:rPr>
            </w:pPr>
            <w:r>
              <w:rPr>
                <w:sz w:val="4"/>
                <w:szCs w:val="4"/>
              </w:rPr>
            </w:r>
          </w:p>
        </w:tc>
      </w:tr>
      <w:tr>
        <w:trPr/>
        <w:tc>
          <w:tcPr>
            <w:tcW w:w="3084"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274" w:type="dxa"/>
            <w:gridSpan w:val="12"/>
            <w:tcBorders/>
          </w:tcPr>
          <w:p>
            <w:pPr>
              <w:pStyle w:val="TableContents"/>
              <w:bidi w:val="0"/>
              <w:spacing w:before="0" w:after="283"/>
              <w:jc w:val="left"/>
              <w:rPr>
                <w:sz w:val="4"/>
                <w:szCs w:val="4"/>
              </w:rPr>
            </w:pPr>
            <w:r>
              <w:rPr>
                <w:sz w:val="4"/>
                <w:szCs w:val="4"/>
              </w:rPr>
            </w:r>
          </w:p>
        </w:tc>
      </w:tr>
      <w:tr>
        <w:trPr/>
        <w:tc>
          <w:tcPr>
            <w:tcW w:w="3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expense incurred was primarily associated with our senior unsecured notes. Interest expense in the nine months ended July 26, 2026 increased compared to the same period in the prior year, primarily due to our issuance of senior unsecured notes in September 2025.</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and other income (expense), net in the three months ended July 26, 2026 decreased compared to the same period in the prior year, primarily driven by higher unrealized loss on equity investments. Interest and other income (expense), net in the nine months ended July 26, 2026 increased compared to the same period in the prior year, primarily driven by higher net unrealized gain on equity investments.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and effective tax rates for the periods presented were as follows: </w:t>
      </w:r>
    </w:p>
    <w:tbl>
      <w:tblPr>
        <w:tblW w:w="10205" w:type="dxa"/>
        <w:jc w:val="left"/>
        <w:tblInd w:w="0" w:type="dxa"/>
        <w:tblLayout w:type="fixed"/>
        <w:tblCellMar>
          <w:top w:w="28" w:type="dxa"/>
          <w:left w:w="28" w:type="dxa"/>
          <w:bottom w:w="28" w:type="dxa"/>
          <w:right w:w="28" w:type="dxa"/>
        </w:tblCellMar>
      </w:tblPr>
      <w:tblGrid>
        <w:gridCol w:w="688"/>
        <w:gridCol w:w="606"/>
        <w:gridCol w:w="608"/>
        <w:gridCol w:w="211"/>
        <w:gridCol w:w="466"/>
        <w:gridCol w:w="271"/>
        <w:gridCol w:w="109"/>
        <w:gridCol w:w="109"/>
        <w:gridCol w:w="109"/>
        <w:gridCol w:w="109"/>
        <w:gridCol w:w="109"/>
        <w:gridCol w:w="211"/>
        <w:gridCol w:w="466"/>
        <w:gridCol w:w="271"/>
        <w:gridCol w:w="109"/>
        <w:gridCol w:w="109"/>
        <w:gridCol w:w="109"/>
        <w:gridCol w:w="109"/>
        <w:gridCol w:w="109"/>
        <w:gridCol w:w="260"/>
        <w:gridCol w:w="651"/>
        <w:gridCol w:w="134"/>
        <w:gridCol w:w="109"/>
        <w:gridCol w:w="109"/>
        <w:gridCol w:w="109"/>
        <w:gridCol w:w="211"/>
        <w:gridCol w:w="616"/>
        <w:gridCol w:w="271"/>
        <w:gridCol w:w="109"/>
        <w:gridCol w:w="109"/>
        <w:gridCol w:w="109"/>
        <w:gridCol w:w="211"/>
        <w:gridCol w:w="616"/>
        <w:gridCol w:w="271"/>
        <w:gridCol w:w="109"/>
        <w:gridCol w:w="109"/>
        <w:gridCol w:w="109"/>
        <w:gridCol w:w="258"/>
        <w:gridCol w:w="645"/>
        <w:gridCol w:w="192"/>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90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847" w:type="dxa"/>
            <w:gridSpan w:val="12"/>
            <w:tcBorders/>
          </w:tcPr>
          <w:p>
            <w:pPr>
              <w:pStyle w:val="TableContents"/>
              <w:bidi w:val="0"/>
              <w:spacing w:before="0" w:after="283"/>
              <w:jc w:val="left"/>
              <w:rPr>
                <w:sz w:val="4"/>
                <w:szCs w:val="4"/>
              </w:rPr>
            </w:pPr>
            <w:r>
              <w:rPr>
                <w:sz w:val="4"/>
                <w:szCs w:val="4"/>
              </w:rPr>
            </w:r>
          </w:p>
        </w:tc>
      </w:tr>
      <w:tr>
        <w:trPr/>
        <w:tc>
          <w:tcPr>
            <w:tcW w:w="1902" w:type="dxa"/>
            <w:gridSpan w:val="3"/>
            <w:vMerge w:val="continue"/>
            <w:tcBorders/>
            <w:tcMar>
              <w:top w:w="0" w:type="dxa"/>
              <w:left w:w="0" w:type="dxa"/>
              <w:bottom w:w="0" w:type="dxa"/>
              <w:right w:w="0" w:type="dxa"/>
            </w:tcMar>
            <w:vAlign w:val="center"/>
          </w:tcPr>
          <w:p>
            <w:pPr>
              <w:pStyle w:val="Normal"/>
              <w:bidi w:val="0"/>
              <w:jc w:val="left"/>
              <w:rPr/>
            </w:pPr>
            <w:r>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w:t>
            </w:r>
          </w:p>
        </w:tc>
        <w:tc>
          <w:tcPr>
            <w:tcW w:w="2847" w:type="dxa"/>
            <w:gridSpan w:val="12"/>
            <w:tcBorders/>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 points</w:t>
            </w:r>
          </w:p>
        </w:tc>
      </w:tr>
    </w:tbl>
    <w:p>
      <w:pPr>
        <w:pStyle w:val="TextBody"/>
        <w:bidi w:val="0"/>
        <w:spacing w:lineRule="auto" w:line="288" w:before="12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pStyle w:val="TextBody"/>
        <w:bidi w:val="0"/>
        <w:spacing w:lineRule="auto" w:line="288" w:before="12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effective tax rates for the third quarter of fiscal 2026 and 2025 were 12.7 percent and 30.6 percent, respectively. The effective tax rate for the third quarter of fiscal 2026 was lower compared to the same period in the prior fiscal year, primarily due to the recognition of a valuation allowance against deferred tax assets related to corporate alternative minimum tax (CAMT) credits in fiscal 2025.</w:t>
      </w:r>
    </w:p>
    <w:p>
      <w:pPr>
        <w:pStyle w:val="TextBody"/>
        <w:bidi w:val="0"/>
        <w:spacing w:lineRule="auto" w:line="288" w:before="12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effective tax rates for the first nine months of fiscal 2026 and 2025 were 12.9 percent and 27.2 percent, respectively. The effective tax rate for the first nine months of fiscal 2026 was lower than the same period in the prior fiscal year, primarily due to a remeasurement of deferred tax assets resulting from new tax incentive agreements in Singapore, and the recognition of a valuation allowance against deferred tax assets related to CAMT credits in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50"/>
        <w:jc w:val="left"/>
        <w:rPr>
          <w:rFonts w:ascii="Times New Roman;serif" w:hAnsi="Times New Roman;serif"/>
          <w:b/>
          <w:i/>
          <w:color w:val="000000"/>
          <w:sz w:val="20"/>
        </w:rPr>
      </w:pPr>
      <w:r>
        <w:rPr>
          <w:rFonts w:ascii="Times New Roman;serif" w:hAnsi="Times New Roman;serif"/>
          <w:b/>
          <w:i/>
          <w:color w:val="000000"/>
          <w:sz w:val="20"/>
        </w:rPr>
        <w:t>Segment Operating Income (Loss)</w:t>
      </w:r>
    </w:p>
    <w:p>
      <w:pPr>
        <w:pStyle w:val="TextBody"/>
        <w:bidi w:val="0"/>
        <w:spacing w:lineRule="auto" w:line="288"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income (loss) by segment for the periods presented was as follows: </w:t>
      </w:r>
    </w:p>
    <w:tbl>
      <w:tblPr>
        <w:tblW w:w="11747" w:type="dxa"/>
        <w:jc w:val="left"/>
        <w:tblInd w:w="0" w:type="dxa"/>
        <w:tblLayout w:type="fixed"/>
        <w:tblCellMar>
          <w:top w:w="28" w:type="dxa"/>
          <w:left w:w="28" w:type="dxa"/>
          <w:bottom w:w="28" w:type="dxa"/>
          <w:right w:w="28" w:type="dxa"/>
        </w:tblCellMar>
      </w:tblPr>
      <w:tblGrid>
        <w:gridCol w:w="744"/>
        <w:gridCol w:w="489"/>
        <w:gridCol w:w="298"/>
        <w:gridCol w:w="211"/>
        <w:gridCol w:w="616"/>
        <w:gridCol w:w="271"/>
        <w:gridCol w:w="109"/>
        <w:gridCol w:w="109"/>
        <w:gridCol w:w="109"/>
        <w:gridCol w:w="109"/>
        <w:gridCol w:w="109"/>
        <w:gridCol w:w="211"/>
        <w:gridCol w:w="616"/>
        <w:gridCol w:w="271"/>
        <w:gridCol w:w="109"/>
        <w:gridCol w:w="109"/>
        <w:gridCol w:w="109"/>
        <w:gridCol w:w="109"/>
        <w:gridCol w:w="109"/>
        <w:gridCol w:w="109"/>
        <w:gridCol w:w="109"/>
        <w:gridCol w:w="211"/>
        <w:gridCol w:w="466"/>
        <w:gridCol w:w="109"/>
        <w:gridCol w:w="109"/>
        <w:gridCol w:w="109"/>
        <w:gridCol w:w="109"/>
        <w:gridCol w:w="180"/>
        <w:gridCol w:w="181"/>
        <w:gridCol w:w="271"/>
        <w:gridCol w:w="109"/>
        <w:gridCol w:w="109"/>
        <w:gridCol w:w="10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180"/>
        <w:gridCol w:w="181"/>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542" w:type="dxa"/>
            <w:gridSpan w:val="18"/>
            <w:tcBorders/>
          </w:tcPr>
          <w:p>
            <w:pPr>
              <w:pStyle w:val="TableContents"/>
              <w:bidi w:val="0"/>
              <w:spacing w:before="0" w:after="283"/>
              <w:jc w:val="left"/>
              <w:rPr>
                <w:sz w:val="4"/>
                <w:szCs w:val="4"/>
              </w:rPr>
            </w:pPr>
            <w:r>
              <w:rPr>
                <w:sz w:val="4"/>
                <w:szCs w:val="4"/>
              </w:rPr>
            </w:r>
          </w:p>
        </w:tc>
      </w:tr>
      <w:tr>
        <w:trPr/>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04" w:type="dxa"/>
            <w:gridSpan w:val="6"/>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percentages and ratios)</w:t>
            </w:r>
          </w:p>
        </w:tc>
        <w:tc>
          <w:tcPr>
            <w:tcW w:w="3542" w:type="dxa"/>
            <w:gridSpan w:val="1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Semiconductor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Applied Global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Semiconductor Systems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 points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Applied Global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 points</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2117"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meaningful</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Semiconductor Systems’ operating margin for the three months ended July 26, 2026 increased compared to the same period in the prior year primarily driven by higher revenue, favorable changes in product mix, increases in average selling prices and lower material and manufacturing costs, partially offset by increased RD&amp;E expenses. Semiconductor Systems’ operating margin for the nine months ended July 26, 2026 increased compared to the same period in the prior year primarily driven by higher revenue, increases in average selling prices and lower material and manufacturing costs, partially offset by increased RD&amp;E expenses and a legal settlement charge related to a previously disclosed export controls compliance matter.</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AGS’ operating margin for the three and nine months ended July 26, 2026 increased compared to the same periods in the prior year primarily due to higher revenue from services and spares and favorable changes in customer and product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100"/>
        <w:ind w:left="0" w:right="0" w:firstLine="495"/>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 xml:space="preserve">Environmental Credits and Environmental Credit Obligations. </w:t>
      </w:r>
      <w:r>
        <w:rPr>
          <w:rFonts w:ascii="Times New Roman;serif" w:hAnsi="Times New Roman;serif"/>
          <w:b w:val="false"/>
          <w:color w:val="000000"/>
          <w:sz w:val="20"/>
        </w:rPr>
        <w:t>In May 2026, the Financial Accounting Standards Board (FASB) issued an accounting standard update establishing guidance for the accounting for environmental credits and environmental credit obligations. The standard provides recognition, measurement, presentation and disclosure requirements for environmental credits and related environmental credit obligations. This authoritative guidance will be effective for us beginning with our interim and annual reporting for fiscal year 2029, with early adoption permitted. We are evaluating the effect of this guidance on our consolidated financial statements and related disclosures.</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 xml:space="preserve">Accounting for Government Grants Received by Business Entities. </w:t>
      </w:r>
      <w:r>
        <w:rPr>
          <w:rFonts w:ascii="Times New Roman;serif" w:hAnsi="Times New Roman;serif"/>
          <w:b w:val="false"/>
          <w:color w:val="000000"/>
          <w:sz w:val="20"/>
        </w:rPr>
        <w:t>In December 2025, the FASB issued an accounting standard update establishing authoritative guidance on the accounting for government grants received by business entities, including grants related to an asset and grants related to income. This authoritative guidance will be effective for us beginning with our interim and annual reporting for fiscal year 2030, with early adoption permitted. The standard allows for adoption on a modified prospective, modified retrospective, or full retrospective basis. We are evaluating the effect of this guidance on our consolidated financial statements and related disclosures.</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In September 2025, the FASB issued an accounting standard update to increase the operability of the recognition guidance considering different methods of software development by replacing the current stage-based capitalization model with a principles-based approach. Under the new guidance, costs are capitalized once management authorizes and commits to funding the software project, and it is probable that both the project will be completed and the software will be used to perform the function intended. This authoritative guidance will be effective for us beginning with our interim and annual reporting for fiscal year 2029, with early adoption permitted. We are evaluating the effect of this guidance on our consolidated financial statements and related disclosures.</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In November 2024, the FASB issued an accounting standard update to improve income statement expenses disclosures (Subtopic 220-40). The standard requires more detailed information related to the types of expenses, including (among other items) the amounts of purchases of inventory, employee compensation, depreciation and intangible asset amortization included within each interim and annual income statement’s expense caption, as applicable. This authoritative guidance can be applied prospectively or retrospectively and will be effective for us in fiscal 2028 for annual periods and in the first quarter of fiscal 2029 for interim periods, with early adoption permitted. We are evaluating the effect of this guidance on our consolidated financial statements and related disclosures.</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In December 2023, the FASB issued an accounting standard update to improve income tax disclosures (Topic 740). The standard prescribes specific categories for the components of the effective tax rate reconciliation, requires disclosure of income taxes paid by jurisdiction, and modifies other income tax-related disclosures. This authoritative guidance will be effective for us beginning with our annual reporting for fiscal year 2026 and the adoption is expected to expand the disclosures in our notes to the consolidated financial statements.</w:t>
      </w:r>
    </w:p>
    <w:p>
      <w:pPr>
        <w:pStyle w:val="TextBody"/>
        <w:bidi w:val="0"/>
        <w:spacing w:lineRule="auto" w:line="288" w:before="180" w:after="100"/>
        <w:ind w:left="0" w:right="0" w:firstLine="495"/>
        <w:jc w:val="both"/>
        <w:rPr>
          <w:rFonts w:ascii="Times New Roman;serif" w:hAnsi="Times New Roman;serif"/>
          <w:b/>
          <w:i/>
          <w:color w:val="000000"/>
          <w:sz w:val="20"/>
        </w:rPr>
      </w:pPr>
      <w:r>
        <w:rPr>
          <w:rFonts w:ascii="Times New Roman;serif" w:hAnsi="Times New Roman;serif"/>
          <w:b/>
          <w:i/>
          <w:color w:val="000000"/>
          <w:sz w:val="20"/>
        </w:rPr>
        <w:t>Accounting Standards Adopted</w:t>
      </w:r>
    </w:p>
    <w:p>
      <w:pPr>
        <w:pStyle w:val="TextBody"/>
        <w:bidi w:val="0"/>
        <w:spacing w:lineRule="auto" w:line="288" w:before="120" w:after="283"/>
        <w:ind w:left="0" w:right="0" w:firstLine="495"/>
        <w:jc w:val="both"/>
        <w:rPr/>
      </w:pPr>
      <w:r>
        <w:rPr>
          <w:rFonts w:ascii="Times New Roman;serif" w:hAnsi="Times New Roman;serif"/>
          <w:b w:val="false"/>
          <w:color w:val="000000"/>
          <w:sz w:val="20"/>
        </w:rPr>
        <w:t>For a description of recently adopted accounting standards, including the date of adoption and the effect, if any, on our consolidated financial statements, see Note 1 “Basis of Presentation and Recently Adopted Accounting Standards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of the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cash, cash equivalents and investments consisted of the following:</w:t>
      </w:r>
    </w:p>
    <w:p>
      <w:pPr>
        <w:pStyle w:val="TextBody"/>
        <w:bidi w:val="0"/>
        <w:spacing w:lineRule="auto" w:line="288" w:before="0" w:after="0"/>
        <w:jc w:val="left"/>
        <w:rPr>
          <w:color w:val="000000"/>
        </w:rPr>
      </w:pPr>
      <w:r>
        <w:rPr>
          <w:color w:val="000000"/>
        </w:rPr>
        <w:t> </w:t>
      </w:r>
    </w:p>
    <w:tbl>
      <w:tblPr>
        <w:tblW w:w="6219" w:type="dxa"/>
        <w:jc w:val="left"/>
        <w:tblInd w:w="0" w:type="dxa"/>
        <w:tblLayout w:type="fixed"/>
        <w:tblCellMar>
          <w:top w:w="28" w:type="dxa"/>
          <w:left w:w="28" w:type="dxa"/>
          <w:bottom w:w="28" w:type="dxa"/>
          <w:right w:w="28" w:type="dxa"/>
        </w:tblCellMar>
      </w:tblPr>
      <w:tblGrid>
        <w:gridCol w:w="1364"/>
        <w:gridCol w:w="1197"/>
        <w:gridCol w:w="1204"/>
        <w:gridCol w:w="211"/>
        <w:gridCol w:w="721"/>
        <w:gridCol w:w="109"/>
        <w:gridCol w:w="109"/>
        <w:gridCol w:w="109"/>
        <w:gridCol w:w="109"/>
        <w:gridCol w:w="211"/>
        <w:gridCol w:w="721"/>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26,</w:t>
              <w:b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cash provided by (used in) operating, investing, and financing activities was as follows:</w:t>
      </w:r>
    </w:p>
    <w:p>
      <w:pPr>
        <w:pStyle w:val="TextBody"/>
        <w:bidi w:val="0"/>
        <w:spacing w:lineRule="auto" w:line="288" w:before="0" w:after="0"/>
        <w:jc w:val="left"/>
        <w:rPr>
          <w:color w:val="000000"/>
        </w:rPr>
      </w:pPr>
      <w:r>
        <w:rPr>
          <w:color w:val="000000"/>
        </w:rPr>
        <w:t> </w:t>
      </w:r>
    </w:p>
    <w:tbl>
      <w:tblPr>
        <w:tblW w:w="5740" w:type="dxa"/>
        <w:jc w:val="left"/>
        <w:tblInd w:w="0" w:type="dxa"/>
        <w:tblLayout w:type="fixed"/>
        <w:tblCellMar>
          <w:top w:w="28" w:type="dxa"/>
          <w:left w:w="28" w:type="dxa"/>
          <w:bottom w:w="28" w:type="dxa"/>
          <w:right w:w="28" w:type="dxa"/>
        </w:tblCellMar>
      </w:tblPr>
      <w:tblGrid>
        <w:gridCol w:w="1150"/>
        <w:gridCol w:w="1013"/>
        <w:gridCol w:w="1016"/>
        <w:gridCol w:w="228"/>
        <w:gridCol w:w="749"/>
        <w:gridCol w:w="118"/>
        <w:gridCol w:w="109"/>
        <w:gridCol w:w="109"/>
        <w:gridCol w:w="109"/>
        <w:gridCol w:w="227"/>
        <w:gridCol w:w="746"/>
        <w:gridCol w:w="166"/>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26,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27, 2025</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Cash from operating activities for the nine months ended July 26, 2026 was $5.6 billion, which reflects net income adjusted for the effect of non-cash charges and changes in working capital components. Significant non-cash charges included depreciation, amortization, gain or loss on investments or asset sales, share-based compensation, deferred income taxes and restructuring charges. Cash provided by operating activities increased in the first nine months of fiscal 2026 compared to the same period in the prior fiscal year primarily due to higher net income and lower payments for income taxes, partially offset by a higher accounts receivable balance and higher vendor payments.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working capital was $14.7 billion as of July 26, 2026 and $12.9 billion as of October 26,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Days sales outstanding of our accounts receivable at July 26, 2026 and July 27, 2025 were 77 days and 72 days, respectively. Days sales outstanding varies due to the timing of shipments and payment terms. The increase in days sales outstanding was primarily driven by higher down payment invoices for which revenue has not yet been recognized as of July 26, 2026 and lower accounts receivable factoring compared to the same period in the prior year.</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used $3.2 billion of cash in investing activities during the nine months ended July 26, 2026. Capital expenditures totaled $2.0 billion and purchases of investments, net of proceeds from sales and maturities of investments, were $908 million and net cash paid for acquisitions was $262 million, partially offset by net proceeds from asset sale of $6 million, during the nine months ended July 26,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portfolio consists principally of investment grade money market mutual funds, U.S. Treasury and agency securities, municipal bonds, corporate bonds and mortgage-backed and asset-backed securities, as well as equity securities. We regularly monitor the credit risk in our investment portfolio and take appropriate measures, which may include the sale of certain securities, to manage such risks prudently in accordance with our investment policies. </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used $2.6 billion of cash in financing activities during the nine months ended July 26, 2026, consisting primarily of cash used for repurchases of common stock of $1.2 billion, cash dividends paid to stockholders totaling $1.2 billion, tax withholding payments for vested equity awards of $437 million and net payments on commercial paper notes of $1 million, partially offset by proceeds received from common stock issuances of $131 million under our employees’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2025, our Board of Directors approved a common stock repurchase program authorizing $10.0 billion in repurchases, which supplemented the previous $10.0 billion authorization approved in March 2023. As of July 26, 2026, approximately $12.8 billion remained available for future stock repurchases under the repurchase program.</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credit facilities for unsecured borrowings in various currencies of up to an aggregate amount of $4.0 billion. These credit facilities consist of a $2.0 billion five-year committed revolving credit agreement with a group of banks (Five-Year Credit Agreement), a $2.0 billion 364-day committed revolving credit agreement with a group of banks (364-Day Credit Agreement), and revolving credit facilities with Japanese banks pursuant to which we may borrow up to approximately $49 million in aggregate at any time. The Five-Year Credit Agreement is scheduled to expire in February 2030, unless extended as permitted under the terms of the agreement.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 The Five-Year Credit Agreement and the 364-Day Credit Agreement each include financial and other covenants with which we were in compliance as of July 26, 2026. No amounts were outstanding under any of these credit facilities as of July 26, 2026. See Note 9, Borrowing Facilities and Debt, of the Notes to the Consolidated Condensed Financial Statements for further discussion related to our Revolving Credit Agreement and other credit facilities.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 short-term commercial paper program under which we may issue unsecured commercial paper notes up to a total of $4.0 billion. The proceeds from the issuances of commercial paper are used for general corporate purposes. As of July 26, 2026, we had commercial paper notes outstanding with an aggregate principal amount of $100 million.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had senior unsecured notes in the aggregate principal amount of $6.5 billion outstanding as of July 26, 2026. See Note 9 of the Notes to the Consolidated Condensed Financial Statements for additional discussion of existing debt.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seek to refinance our existing debt and may incur additional indebtedness depending on our capital requirements, general corporate purposes and the availability of financing.</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provide standby letters of credit or other guarantee instruments to third parties as required for certain transactions initiated by either us or our subsidiaries. We also have agreements with various banks to facilitate subsidiary banking operations worldwide, including overdraft arrangements, issuance of bank guarantees, and letters of credit. See Note 13 of the Notes to the Consolidated Condensed Financial Statements for additional discussion related to our guarantee agreements and arrangements.</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December 22, 2017, the U.S. government enacted the Tax Cuts and Jobs Act (Tax Act). The Tax Act required a one-time transition tax on certain unrepatriated earnings of foreign subsidiaries to be paid in installments beginning in fiscal 2018. The transition tax expense has been fully paid in fiscal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for which construction begins before January 1, 2027, and is treated as a government grant recognized against property, plant and equipment and a reduction of income taxes payable or an increase to taxes receivable for any credit expected to be refunded. We recognize this investment tax credit when there is reasonable assurance that we will qualify for the credit and the benefit will be received. As of July 26, 2026, we have recorded $1.2 billion of investment tax credits, of which $41 million was recorded in other current assets and will offset fiscal 2026 income tax liabilities, and $1.2 billion was recorded in deferred income taxes and other assets and is expected to be refunded.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July 4, 2025, the U.S. government enacted the One Big Beautiful Bill Act (OBBBA). The OBBBA includes a broad range of tax reform provisions including extending and modifying certain key Tax Act provisions and expanding certain CHIPS Act incentives. These changes include full expensing of domestic research costs, immediate expensing of qualifying property and increasing the investment tax credit for certain investments in domestic semiconductor manufacturing from 25% to 35%. Key tax provisions of the OBBBA are designed to accelerate tax deductions but that may have a detrimental impact on our ability to use certain tax credits. The use of certain tax credits may not be economically viable if it requires electing to forgo significant tax deductions. Most of the provisions are effective beginning in fiscal years 2026 or 2027. The most impactful provisions in fiscal year 2026 include immediate expensing of U.S. performed research costs and the increase in the investment tax credit from 25% to 35% for qualifying property placed in service after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Various countries where we do business have enacted or plan to enact new tax laws to implement the global minimum tax regimes based on the Organization for Economic Cooperation and Development Base Erosion and Profit Shifting Project, and where enacted, the rules began to be effective in fiscal 2025. The currently enacted legislation is expected to materially increase our foreign taxes beginning in the first quarter of fiscal 2026, primarily due to the implementation of the global minimum tax regime in Singapore. We continue to monitor developments and evaluate impacts, if any, of these rules on our results of operations and cash flows. Tax authorities and standard-setting bodies continue to issue new guidance, and the ultimate impact of these rules remains subject to ongoing interpretation and implementation. The adoption and effective dates of these rules vary by country and could increase tax complexity and uncertainty and may adversely affect our provision for income taxes in future years.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been granted additional conditional reduced tax rates in Singapore that expire beginning in fiscal 2030.</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Although cash requirements will fluctuate based on the timing and extent of factors such as those discussed above, our management believes that cash generated from operations, together with the liquidity provided by existing cash balances and borrowing capability, will be sufficient to satisfy our liquidity requirements for the next 12 months. For further details regarding our operating, investing and financing activities, see the Consolidated Condensed Statements of Cash Flows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and related disclosures in conformity with accounting principles generally accepted in the United States of America requires management to make judgments, assumptions and estimates that affect the amounts reported.</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have historically been minor and have been included in the consolidated financial statements as soon as they became known. In addition, management is periodically faced with uncertainties, the outcomes of which are not within our control and will not be known for prolonged periods of time. These uncertainties include those discussed in Part II, Item 1A, “Risk Factors.”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Consistent with what we disclosed in Item 7 of our fiscal 2025 Form 10-K that was filed on December 12, 2025, management believes that Income Taxes are a critical accounting estimate.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financial market risks, including fluctuations in interest rates and foreign currency exchange rates. For information about our exposure to market risks as of October 26, 2025, see Part II, Item 7A, Quantitative and Qualitative Disclosures About Market Risk in our Annual Report on Form 10-K for the fiscal year ended October 26,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Available-for-sale Debt Securities</w:t>
      </w:r>
      <w:r>
        <w:rPr>
          <w:color w:val="000000"/>
        </w:rPr>
        <w:t xml:space="preserve"> – </w:t>
      </w:r>
      <w:r>
        <w:rPr>
          <w:rFonts w:ascii="Times New Roman;serif" w:hAnsi="Times New Roman;serif"/>
          <w:b w:val="false"/>
          <w:color w:val="000000"/>
          <w:sz w:val="20"/>
        </w:rPr>
        <w:t xml:space="preserve">We are subject to interest rate risk related to our investments in debt securities. The market value of our investments in available-for-sale securities was approximately $5.0 billion at July 26, 2026. An immediate hypothetical 100 basis point increase in interest rates would result in a decrease in the fair value of investments as of July 26, 2026 of approximately $49 million. </w:t>
      </w:r>
    </w:p>
    <w:p>
      <w:pPr>
        <w:pStyle w:val="TextBody"/>
        <w:bidi w:val="0"/>
        <w:spacing w:lineRule="auto" w:line="288" w:before="100" w:after="283"/>
        <w:ind w:left="0" w:right="0" w:firstLine="495"/>
        <w:jc w:val="both"/>
        <w:rPr/>
      </w:pPr>
      <w:r>
        <w:rPr>
          <w:rFonts w:ascii="Times New Roman;serif" w:hAnsi="Times New Roman;serif"/>
          <w:b w:val="false"/>
          <w:i/>
          <w:color w:val="000000"/>
          <w:sz w:val="20"/>
        </w:rPr>
        <w:t>Debt -</w:t>
      </w:r>
      <w:r>
        <w:rPr>
          <w:color w:val="000000"/>
        </w:rPr>
        <w:t xml:space="preserve"> </w:t>
      </w:r>
      <w:r>
        <w:rPr>
          <w:rFonts w:ascii="Times New Roman;serif" w:hAnsi="Times New Roman;serif"/>
          <w:b w:val="false"/>
          <w:color w:val="000000"/>
          <w:sz w:val="20"/>
        </w:rPr>
        <w:t>We are subject to interest rate volatility with regard to existing and future issuances of debt. At July 26, 2026, the aggregate principal amount of long-term senior unsecured notes issued by us was $5.3 billion with an estimated fair value, excluding the associated interest rate swaps, of $4.7 billion. A hypothetical decrease in interest rates of 100 basis points would result in an increase in the fair value of our long-term senior note issuances of approximately $390 million at July 26, 2026. From time to time, we use interest rate swaps or rate lock agreements to mitigate the potential impact of changes in benchmark interest rates on interest expense and cash flows. A hypothetical 100 basis point increase in interest rates would result in a decrease in the fair value of these hedging contracts of $34 million at July 26,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operations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 A hypothetical 10% adverse change in foreign currency exchange rates relative to the U.S. Dollar would result in a decrease in the fair value of these hedging contracts of $301 million at July 26, 2026.</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primarily foreign currency forward contracts to offset the impact of foreign exchange movements on non-U.S. dollar denominated monetary assets and liabilities. The foreign exchange gains and losses on the assets and liabilities are recorded in interest and other income (expense), net and are offset by the gains and losses on the hedges.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foreign currency forward and option contracts to hedge a portion of anticipated non-U.S. dollar denominated revenues and expenses expected to occur within the next 24 months. Gains and losses on these hedging contracts generally mitigate the effect of currency movements on our revenue, cost of products sold, and operating expenses.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do not use foreign currency forward or option contracts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4.</w:t>
      </w:r>
      <w:r>
        <w:rPr>
          <w:color w:val="000000"/>
        </w:rPr>
        <w:t>    </w:t>
      </w:r>
      <w:r>
        <w:rPr>
          <w:rFonts w:ascii="Times New Roman;serif" w:hAnsi="Times New Roman;serif"/>
          <w:b/>
          <w:i/>
          <w:color w:val="000000"/>
          <w:sz w:val="20"/>
        </w:rPr>
        <w:t>Controls and Procedures</w:t>
      </w:r>
    </w:p>
    <w:p>
      <w:pPr>
        <w:pStyle w:val="TextBody"/>
        <w:bidi w:val="0"/>
        <w:spacing w:lineRule="auto" w:line="288" w:before="10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our management conducted an evaluation, under the supervision and with the participation of our Chief Executive Officer and Chief Financial Officer, of the effectiveness of our disclosure controls and procedures, as such term is defined in Rule 13a-15(e) of the Securities Exchange Act of 1934 (the Exchange Act). Based upon that evaluation, our Chief Executive Officer and Chief Financial Officer concluded that our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us in such reports is accumulated and communicated to our management, including our Chief Executive Officer and Chief Financial Officer, as appropriate to allow timely decisions regarding required disclosure.</w:t>
      </w:r>
    </w:p>
    <w:p>
      <w:pPr>
        <w:pStyle w:val="TextBody"/>
        <w:bidi w:val="0"/>
        <w:spacing w:lineRule="auto" w:line="288" w:before="100" w:after="10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fiscal 2026, there were no changes in the internal control over financial reporting, as such term is defined in Rule 13a-15(f) of the Exchange Act, that materially affected, or are reasonably likely to materially affect, our internal control over financial reporting.</w:t>
      </w:r>
    </w:p>
    <w:p>
      <w:pPr>
        <w:pStyle w:val="TextBody"/>
        <w:bidi w:val="0"/>
        <w:spacing w:lineRule="auto" w:line="288" w:before="100" w:after="283"/>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Inherent Limitations of Disclosure Controls and Procedures and Internal Control over Financial Reporting</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information set forth under “Legal Matters” in Note 13 of the Notes to Consolidated Condensed Financial Statements is incorporated herein by reference. See also</w:t>
      </w:r>
      <w:r>
        <w:rPr>
          <w:color w:val="000000"/>
        </w:rPr>
        <w:t xml:space="preserve"> “</w:t>
      </w:r>
      <w:r>
        <w:rPr>
          <w:rFonts w:ascii="Times New Roman;serif" w:hAnsi="Times New Roman;serif"/>
          <w:b w:val="false"/>
          <w:i/>
          <w:color w:val="000000"/>
          <w:sz w:val="20"/>
        </w:rPr>
        <w:t>Risk Factors – Legal, Compliance, and Other Risks –</w:t>
      </w:r>
      <w:r>
        <w:rPr>
          <w:color w:val="000000"/>
        </w:rPr>
        <w:t xml:space="preserve"> </w:t>
      </w:r>
      <w:r>
        <w:rPr>
          <w:rFonts w:ascii="Times New Roman;serif" w:hAnsi="Times New Roman;serif"/>
          <w:b w:val="false"/>
          <w:i/>
          <w:color w:val="000000"/>
          <w:sz w:val="20"/>
        </w:rPr>
        <w:t>We are exposed to risks related to legal proceedings, claims and investigations.”</w:t>
      </w:r>
      <w:r>
        <w:rPr>
          <w:color w:val="000000"/>
        </w:rPr>
        <w:t xml:space="preserve"> </w:t>
      </w:r>
      <w:r>
        <w:rPr>
          <w:rFonts w:ascii="Times New Roman;serif" w:hAnsi="Times New Roman;serif"/>
          <w:b w:val="false"/>
          <w:color w:val="000000"/>
          <w:sz w:val="20"/>
        </w:rPr>
        <w:t>in Part II, Item 1A, “Risk Factors.”</w:t>
      </w:r>
    </w:p>
    <w:p>
      <w:pPr>
        <w:pStyle w:val="TextBody"/>
        <w:bidi w:val="0"/>
        <w:spacing w:lineRule="auto" w:line="288" w:before="120" w:after="283"/>
        <w:ind w:left="0" w:right="0" w:firstLine="5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risk factors set forth below include any material changes to, and supersede the description of, the risk factors disclosed in Part I, Item 1A of our most recent Form 10-K. These factors could materially and adversely affect our business, financial condition or results of operations and cause reputational harm, and should be carefully considered in evaluating our business, in addition to other information presented elsewhere in this report.</w:t>
      </w:r>
    </w:p>
    <w:p>
      <w:pPr>
        <w:pStyle w:val="TextBody"/>
        <w:bidi w:val="0"/>
        <w:spacing w:lineRule="auto" w:line="288" w:before="180" w:after="283"/>
        <w:ind w:left="0" w:right="0" w:firstLine="270"/>
        <w:jc w:val="both"/>
        <w:rPr>
          <w:rFonts w:ascii="Times New Roman;serif" w:hAnsi="Times New Roman;serif"/>
          <w:b/>
          <w:color w:val="000000"/>
          <w:sz w:val="20"/>
          <w:u w:val="single"/>
        </w:rPr>
      </w:pPr>
      <w:r>
        <w:rPr>
          <w:rFonts w:ascii="Times New Roman;serif" w:hAnsi="Times New Roman;serif"/>
          <w:b/>
          <w:color w:val="000000"/>
          <w:sz w:val="20"/>
          <w:u w:val="single"/>
        </w:rPr>
        <w:t>Business and Industry Risks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industries we serve can be volatile and difficult to predict.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industries in which we operate, including the global semiconductor industry, have historically been cyclical and are subject to volatility in customer demand. Demand for our products and services is impacted by technology inflections and advances in fabrication processes, new and emerging technologies and market drivers, production capacity relative to demand for semiconductor chips and electronic devices, end-user demand, the timing of customers’ investment in new or expanded fabrication plants, customers’ capacity utilization, production volumes, access to affordable capital, business and consumer buying patterns and general economic and political conditions. Changes in the timing, amounts and mix of our customers’ investments in technology and manufacturing equipment and between different products can significantly impact our operating results.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growth of technologies related to artificial intelligence (AI) is a significant demand driver for the industries we serve and can require us to respond to rapid changes in demand for our products and services. If we are unable to meet the level of demand from our customers it may result in a loss of business or customer trust. The timing and amount of investments by our customers related to AI and other advanced technologies can change significantly and the related demand for our products and services is difficult to forecast. To meet our customers’ demand, we must accurately forecast demand and effectively manage our resources, investments, production capacity, supply chain, workforce, inventory and other components of our business. We may incur costs in anticipation of demand that may not be realized or sustained, as well as unexpected costs to align our operations with changes in demand. If we do not effectively manage these challenges, our business performance and operating results may be adversely impacted. Even with effective allocation of resources and management of costs, our gross and operating margins, cash flows and earnings may be adversely impacted during periods of changing demand.</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associated with an uncertain global economy.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and the industries we serve are subject to uncertain and adverse economic and business conditions, including volatility in financial markets, national debt, fiscal or monetary concerns, inflation, changes in interest rates, bank failures, tariffs and trade policies, and economic recession. These conditions have caused, and may in the future cause, our customers to delay, cancel or reduce purchases of our equipment or services. Customers may also scale back operations, exit businesses, consolidate, or file for bankruptcy. Consolidation or strategic alliances among other equipment manufacturers could also intensify competition and adversely affect our market position. These conditions make it more difficult to forecast operating and financial results and make business and investment decisions. We may be required to implement additional cost reduction efforts, including restructuring activities, which could impair our ability to capitalize on opportunities. Even during periods of economic uncertainty or lower demand, we must continue to invest in research and development and maintain a global business infrastructure to compete effectively and support our customers. The consequences of these conditions could have an adverse effect on our business, financial condition and results of operations.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subject to general credit, liquidity, market and interest rate risks, which may be exacerbated by inflation, rising interest rates, bank failures or economic recession. These factors could reduce the value or liquidity of our investments or pension assets and result in impairment charges. We also maintain cash balances at financial institutions worldwide, and the insolvency of any such institution could restrict access to our cash and adversely affect our ability to manage operations.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the risks of operating a global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product development, engineering, manufacturing, sales and other operations in many countries, and some activities are concentrated in certain regions. In the three-month period ended July 26, 2026, approximately 85% of our revenue was from customers outside the United States. Due to the global nature of our operations, a number of factors could adversely impact our business, financial condition and results of operations. These factors include global political and social conditions, such as policies or regulations within countries, including China, the United States and countries in Europe and Asia, that favor domestic companies or promote the development and growth of local competitors to us, or regarding national, commercial or security issues. Other factors include geopolitical turmoil, acts of war or social unrest; our ability to maintain appropriate business processes, procedures and internal controls in our geographically diverse operations; delays or restrictions on personnel travel and in shipping materials or products; our ability to develop relationships with local customers, suppliers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governments; performance of our geographically diverse third-party providers; regional or global health epidemics, natural disasters and extreme and chronic weather events; fluctuations in interest rates and currency exchange rates; and other factors discussed in this Risk Factors section. Ongoing conflict in the Middle East can exacerbate the foregoing factors and lead to regional instability and global economic uncertainty, including global or regional inflation, economic recession, challenges in purchasing materials used by us or by our customers in the manufacture of semiconductor chips, and disruptions to our supply chain and logistics. Any of these factors may adversely impact our business and manufacturing operations or demand for our products and services, and our performance and results of operations may be adversely affected.</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majority of our products and services are delivered to customers in jurisdictions outside of the United States, including China, Taiwan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affect the semiconductor industry. The United States and other countries have imposed and may continue to impose new trade restrictions and export regulations, have levied tariffs and taxes on certain goods and could significantly increase or impose new tariffs on a broad array of goods. Trade restrictions and export regulations, or increased or new tariffs and additional taxes, including any retaliatory measures, can negatively impact end-user demand and customer investment in semiconductor equipment, increase our supply chain complexity and our manufacturing costs, decrease margins, reduce the competitiveness of our products, or restrict our ability to sell products, provide services or purchase necessary equipment and supplies, any or all of which could have a material and adverse effect on our business, results of operations, or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example, certain international sales depend on our ability to obtain export licenses, and our inability to obtain such licenses has limited and could further limit our markets and negatively impact our business. Over the past several years, the U.S. government announced additional export regulations for U.S. semiconductor technology sold in China, including wafer fabrication equipment and related parts and services, with disparate impact on companies in different jurisdictions, which have limited the market for certain of our products and services, adversely impacted our revenues and increased our exposure to foreign and Chinese domestic competition. The U.S. Department of Commerce expanded export license requirements for U.S. companies that sell certain products or provide certain services to entities in China whose actions or functions are intended to support military end uses, eliminated certain export license exceptions for exports of certain items to China, added certain Chinese companies to its “Entity List,” making those companies subject to additional licensing requirements, and expanded licensing requirements for exports to China of items for use in the development or production of integrated circuits and certain technologies. These regulations require us to obtain additional export licenses to supply certain of our products or provide services to certain customers in China. Obtaining export licenses may be difficult and time-consuming, and there is no assurance we will be issued licenses on a timely basis or at all. Our inability to obtain such licenses could limit our sales in China, may cause us to be displaced by foreign and Chinese domestic companies and adversely affect our results of operations. The implementation and interpretation of these complex rules and other regulatory actions taken by the U.S. government are uncertain and evolving and may make it more challenging for us to manage our operations and forecast our operating results. The U.S. and other governments may promulgate new or additional export licensing or other requirements that have the effect of further limiting our ability to provide certain products and services to customers outside the U.S., including China. The U.S. government may also revise or expand existing requirements or issue guidance clarifying the scope and application of these requirements, which could change the impact of these rules on our business and manufacturing operations. The U.S. government may also continue to add customers to its “Entity List,” promulgate additional restrictions, or take measures that could disrupt our product shipments or the provision of services to certain customers. These and other potential future regulatory changes could materially and adversely affect our business, results of operations or financial condition.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a global business with customers, suppliers and operations in many countries around the world, from time to time we may receive inquiries from government authorities about transactions between us and certain foreign entities. For example, we have previously received subpoenas from government authorities requesting information relating to export controls compliance. On February 11, 2026, we entered into a settlement agreement with the U.S. Commerce Department Bureau of Industry and Security (BIS) to resolve its inquiry relating to certain China customer shipments and export controls compliance and agreed to pay BIS $253 million, which we paid in full during our second quarter of fiscal 2026, as well as conduct certain internal audits and maintain export compliance training and reporting mechanisms. Our failure to comply with the terms of the settlement agreement could result in significant penalties, including the loss of the suspension of the denial order which would prohibit us from exporting certain of our products outside of the United States. Any inquiries we may receive are subject to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and we cannot predict the outcome of any governmental inquiries or proceedings that may occur. Any violation or alleged violation of law or regulations could result in significant legal costs or in legal proceedings in which we or our employees could be subjected to fines and penalties and could result in restrictions on our business and damage to our global brand and reputation, and could have a material and adverse impact on our business operations, financial condition and results of operations.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Furthermore, government authorities may take retaliatory actions, impose conditions that require the use of local suppliers or partnerships with local companies, require the license or other transfer of sensitive data or intellectual property, or engage in other efforts to promote local businesses and local competitors, which could have a material and adverse impact on our business. Many of these challenges are present in China and Korea, markets that represent a significant portion of our business.</w:t>
      </w:r>
    </w:p>
    <w:p>
      <w:pPr>
        <w:pStyle w:val="TextBody"/>
        <w:bidi w:val="0"/>
        <w:spacing w:lineRule="auto" w:line="276"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We are exposed to risks and uncertainty related to changes in trade policies, and increased tariffs and trade disputes.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financial condition and results of operations may be adversely affected by uncertainty and changes in trade policies, including tariffs, and trade disputes between the United States and other countries.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and trade frameworks with certain countries.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significant number of our customers and suppliers are located outside of the United States. Increases in tariffs increase our costs and can negatively impact our margins and reduce the competitiveness of our products due to the increase in the cost of importing materials, parts and components used in manufacturing our products. Tariffs can also increase supply chain complexity and may make it more difficult to purchase necessary equipment and supplies to manufacture our products. Increases in tariffs, including reciprocal and sector-based tariffs, also increase the cost to our customers of importing our products, which could harm customer demand for our products. Uncertainty or volatility with respect to tariffs and trade disputes may also make it difficult for us and our customers and suppliers to make and execute business and capital equipment investment plans; lead to global or regional inflation and economic recession and reduce demand for semiconductor chips and electronic devices; cause our customers to delay or cancel orders or negatively impact our competitive position; impede our ability to purchase materials, including critical materials and minerals, and disrupt supply chain and logistics. For example, in 2025 the Chinese government implemented export controls on the export of rare earth minerals that are used in certain of our products and may implement additional controls in the future. We may take actions to mitigate the impact of increases in tariffs and changes in trade policies, but there can be no assurance that we will be successful, and any such actions could result in additional costs, manufacturing delays or other difficulties, as well as additional risks, and may not be effective. Any or all of these factors may have a material and adverse impact on our business, financial condition and results of operations.</w:t>
      </w:r>
    </w:p>
    <w:p>
      <w:pPr>
        <w:pStyle w:val="TextBody"/>
        <w:bidi w:val="0"/>
        <w:spacing w:lineRule="auto" w:line="276"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associated with a highly concentrated customer base.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relatively limited number of customers account for a substantial portion of our business. As a result, the actions of even a single customer have exposed and can further expose our business and operating results to greater volatility. Sales to individual customers and the mix and type of customers have varied and may continue to vary significantly. Our products are configured to customer specifications, and changing, rescheduling or canceling orders may result in significant, non-recoverable costs. If customers do not place orders, or substantially reduce, delay or cancel orders, we may be unable to replace the business. In addition, our customers are geographically concentrated, particularly in China, Taiwan and Korea, and export regulations that apply to customers in certain countries, such as China, have previously and may in the future adversely affect our business. The geographic concentration of our customers could shift over time due to changes in technology, the competitive landscape, and government policies and incentives to develop regional semiconductor industries. Any changes impacting our customer concentration, deterioration in a customer’s financial condition or ability to perform its obligations, or efforts by a customer to obtain pricing, payment, intellectual property-related or other commercial terms that are less favorable to us, could have a material and adverse effect on our results of operations and financial condition.</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Supply chain disruptions, manufacturing interruptions or delays, or the failure to accurately forecast customer demand, could affect our ability to meet customer demand, lead to higher costs, or result in excess or obsolete inventory.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meet customer demand for our products and services depends in part on the timely delivery of parts, materials and services from suppliers and contract manufacturers. Volatility in demand for our products and worldwide demand for semiconductor chips and electronic devices has caused, and may cause, shortages or delays in shipments of parts, materials and services needed to manufacture our products. Supply chain constraints and disruptions have in the past, and may in the future, increase costs of logistics and parts for our products and cause delays in our production and delivery schedules. These challenges may result in significant interruptions to our manufacturing operations, delays in our product or service deliveries and installments, increased costs, customer order cancellations or reduced demand for our products. Factors that may lead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supply chain challenges include: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global trade issues and changes in and uncertainties regarding trade and export regulations, trade policies and sanctions, tariffs, international trade disputes, particularly those relating to exports of certain technologies to China, where a significant portion of our supply chain is located, and any retaliatory measures, that adversely impact us or our direct or sub-tier suppliers;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political instability, social unrest, terrorism, acts of war or other geopolitical turmoil in locations where we, our customers or suppliers operate;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failures or inaccuracies in forecasting demand and obtaining quality parts on a cost-effective basis;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cybersecurity incidents affecting our supply chain;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volatility in the availability and cost of parts, commodities, energy and shipping related to our products, including increased costs due to rising inflation or interest rates or other market conditions, and uncertainties arising from the imposition of tariffs and any retaliatory measures;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difficulties or delays in obtaining required import or export licenses and approvals;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shipment delays due to transportation interruptions or capacity constraints;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 worldwide shortage of semiconductor components resulting from increased demand for semiconductor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limited availability of critical materials and minerals, including due to any Chinese government restrictions on the export of rare earth minerals, and limited feasible alternatives to materials subject to existing or proposed regulations to limit their use (such as hydrofluorocarbons and per- and polyfluoroalkyl substances), which are found in parts, components, process chemicals and other materials supplied to us or used in our manufacturing operations;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natural disasters, extreme and chronic weather events, regional or global health epidemics, or other events beyond our control.</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 supplier fails to meet our requirements concerning quality, cost, intellectual property protection or other performance factors, or does not meet applicable regulatory requirements, we may change suppliers, which could result in manufacturing delays, additional costs or other difficulties, and impair our ability to protect, enforce and extract the full value of our intellectual property rights and the intellectual property rights of our customers and other third parties.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If we need to rapidly increase our business and manufacturing capacity to meet increases in demand or expedited shipment schedules, this may strain our manufacturing and supply chain operations and negatively impact our working capital. If we are unable to accurately forecast demand for our products, we may purchase more or fewer parts than necessary or incur costs for canceling, postponing or expediting deliveries. If we purchase or commit to purchase inventory in anticipation of customer demand that does not materialize, or the inventory is rendered obsolete by the rapid pace of technological change, or if customers reduce, delay or cancel orders, we may incur excess or obsolete inventory charges. Additionally, if anticipated levels of demand are not realized, we may incur fixed costs from underutilized production capacity and our gross margin may be adversely impacted.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Any of these events impacting our supply chain could affect our ability to meet our customers’ demand, result in higher costs to us and have an adverse effect on customer relationships and our business, financial condition and results of operations.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various factors that impact the industries in which we operate, including factors specific to the semiconductor industry.</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largest proportion of our revenue and profitability is derived from our Semiconductor Systems segment’s sale of a wide range of equipment used to fabricate semiconductor chips, and a majority of the revenue of Applied Global Services is from sales to semiconductor manufacturers. Factors particular to the semiconductor industry and other industries we operate in that impact demand for and the profitability of our products and services include: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demand for semiconductor chips and electronic devices, including those related to fluctuations in consumer buying patterns tied to general economic or geopolitical conditions, seasonality or product introductions;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frequency, complexity and timing of technology transitions and inflections, and our ability to anticipate and adapt to them;</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demand for semiconductor chips due to changes in the timing of, level of investment in, or technologies used in the buildout of data centers, including data center buildout driven by demand for AI technologies;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increasing costs and complexity in research and development, including due to shrinking geometries, new materials and device structures, more applications and process steps, chip design costs, and integrated manufacturing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number of types and varieties of semiconductors and number of applications;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high capital requirements for building and operating fabrication plants and customers’ ability to obtain funding;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trade, regulatory, tax or government incentives impacting customers’ investment in new or expanded fabrication plants and semiconductor research and development;</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cost and complexity for customers to move from product design to volume manufacturing, and the impact on investment in capital equipment;</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growth rates in the semiconductor industry and variability in semiconductor manufacturers’ capital expenditures, including allocation of capital to market segments we do not serve, such as lithography, or where our market presence is relatively lower;</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delays in installation of our equipment delivered to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importance of increasing market positions in segments with growing demand;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customers’ ability to reconfigure or reuse existing equipment, reducing demand for new equipment and services and increasing challenges in parts availability;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availability of spare parts to maximize the time that customers’ systems are available for production;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shorter order placement and shipment cycle times that increase reliance on forecasting customer investment, which may lead to inventory write-offs and manufacturing inefficiencies that decrease gross margin;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competitive factors that make it difficult to enhance position, including total cost of manufacturing system ownership and other challenges in securing development-tool-of-record (DTOR) and production-tool-of-record (PTOR) positions with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consolidation among semiconductor manufacturers and semiconductor equipment suppliers;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shifts in sourcing strategies by computer and electronics companies, and manufacturing processes for advanced circuit technologies, that impact the equipment requirements of our foundry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fragmentation of semiconductor markets, including markets too small to support new fabrication plants or that require less advanced technologies;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the importance of specialty markets (such as internet of things, communications, automotive, power and sensors) that use process technologies with low barriers to entry;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increasing role for and complexity of software in our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efforts to reduce energy usage and improve the environmental impact and sustainability of manufacturing operations, and the availability of adequate and reliable energy sources;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the importance of advanced packaging to AI computing.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do not effectively address these factors, accurately forecast and allocate appropriate resources and investment towards addressing key technology changes and inflections, successfully develop and commercialize products to meet demand for new technologies, and effectively address industry trends, our business and results of operations may be materially and adversely impacted.</w:t>
      </w:r>
    </w:p>
    <w:p>
      <w:pPr>
        <w:pStyle w:val="TextBody"/>
        <w:bidi w:val="0"/>
        <w:spacing w:lineRule="auto" w:line="288" w:before="18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industries in which we operate are highly competitive and subject to rapid technological and market changes.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environment where innovation is critical, and our future success depends on our ability to anticipate and respond to technology inflections, evolving customer requirements, competitor innovations, and changes in market demand. The development, introduction and support of products in a geographically diverse and competitive environment requires collaboration with customers and industry participants, which has grown more complex and costly. New or improved products may entail higher costs and longer development cycles, and may have unforeseen product design or manufacturing defects. To compete successfully, we must:</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develop new products and disruptive technologies, improve and develop new applications for existing products, and adapt products for use in different applications and markets with varying technical requirements;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complete our new Equipment and Process Innovation and Commercialization Center and other major infrastructure projects on schedule and on budget, and realize their anticipated benefits;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differentiate our products from those of competitors, meet customers’ performance specifications, and successfully commercialize our products and achieve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maintain operating flexibility to respond to changing markets, applications and customer requirements;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enhance our worldwide operations to reduce costs and cycle times, enable continuous quality improvement, and improve design for manufacturability and serviceability;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execute product development and sales and marketing strategies that address customers’ high value problems and strengthen customer relationships;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effectively allocate resources among our existing products and markets, new product development, and new and adjacent market expansion;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improve the productivity of research and development investments;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accurately forecast demand, work with suppliers and meet production schedules, improve manufacturing processes and achieve cost efficiencies across product offerings;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enhance our design engineering methodology to reduce material costs and cycle time and improve product life cycle management.</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we fail to anticipate or respond effectively to technology inflections or competitive or market developments, or if we are unable to successfully develop and commercialize new products, our business performance and operating results may be materially and adversely impacted.</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related to government incentives and other agreements that may involve government entities.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agreements with government entities for grants, tax benefits and other incentives, other funding related to our investment, research and development and production activities or for sale of our products to government entities or government-funded programs. These agreements typically include terms that are not common in similar agreements with non-governmental entities, including representations and warranties, covenants and certifications, and record-keeping, accounting, audit, intellectual property rights-sharing, information handling, supply chain management, headcount, security, disclosure and other requirements. These agreements may also require us to achieve or maintain certain levels of investment, capital spending and performance milestones. Compliance with these requirements may increase operational complexity and costs, and failure to comply could result in cancellation of agreements or transactions, investigations, civil and criminal penalties, forfeiture of profits, reduction, termination or clawback of funding, suspension or debarment from doing business with the government, or other penalties, any of which could have a material and adverse effect on our business, financial condition and results of operations.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factors specific to the display industry.</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supplier to the global display industry, which has experienced considerable volatility in capital equipment investment levels, due in part to the limited number of display manufacturers, the concentrated nature of end-use applications, production capacity relative to end-use demand, the speed of adopting new technologies and panel manufacturer profitability. Industry growth depends primarily on consumer demand for larger and more advanced TVs, and demand for advanced smartphones and mobile device displays, which demand is highly sensitive to cost and improvements in technologies and features. Demand for and the profitability of our display products and services is impacted by these industry factors, as well as the introduction of and rate of transition to new display technologies, our ability to anticipate and adapt to technology transitions and inflections, and the expansion of display manufacturing facilities in China. If we do not successfully develop and commercialize products to meet demand for new and emerging display technologies, or if industry demand for display fabrication equipment and technologies does not grow, our business and operating results may be adversely impacted.</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associated with expanding into new and related markets and industries.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seek to expand into related or new markets and industries, through our existing and new products, or through products developed with third parties or obtained through acquisitions. Our ability to successfully expand into new and related markets and industries may be adversely affected by various factors,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need to devote additional resources to develop new products for, and operate in, new markets;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need to develop new sales and technical marketing strategies and relationships with new customers;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differing profitability and growth rates across multiple businesses;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our ability to anticipate demand, capitalize on opportunities and avoid or minimize risks;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complexity of managing multiple businesses with variations in production planning, execution, supply chain management and logistics;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adoption of new business models, processes and systems;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complexity of entering into and effectively managing strategic alliances or partnering opportunities;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need to attract, motivate and retain employees with skills and expertise in these new areas;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new and more diverse customers and suppliers, including some with limited operating histories, uncertain or limited funding, evolving business models or operations in regions where we have limited or no presence;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new or different competitors with more resources, industry experience or established customer relationships;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differing levels of government involvement, regulatory regimes, and business, employment and safety practices in these new markets and industries;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third parties’ intellectual property rights;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need to comply with or establish industry standards and practices.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invested and expect to continue investing significant resources towards expanding into related or new markets and industries, and there can be no assurance that our products and services will achieve market acceptance or be profitable. Additionally, demand for our products and services depends on the success of the markets and industries we seek to expand into. If our efforts to expand into new and related markets and industries are not successful, including due to the failure of any of those markets and industries, our business, financial condition and results of operations could be adversely affected.</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We are exposed to risks related to the use of AI by us and our competitors.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increasingly incorporating AI capabilities into the development of technologies, our business operations and our products and services. AI technology is complex and rapidly evolving and may subject us to significant competitive, legal, regulatory, operational and other risks. AI implementation can be costly, and there is no guarantee that our use of AI will enhance our technologies or business operations, or produce products and services preferred by our customers. Our competitors may be more successful in their AI strategy and develop superior products and services using AI technology. Additionally, AI algorithms or training methodologies may be flawed, and datasets may contain irrelevant, insufficient or biased information, which can cause errors in outputs. This may give rise to legal liability, damage our reputation, and materially harm our business. The use of AI in developing our products and services could also cause loss of intellectual property, and subject us to risks related to intellectual property infringement or misappropriation, data privacy and cybersecurity. We also utilize third-party providers of AI capabilities, and our ability to implement AI successfully relies on our continued access to third-party providers and safeguards implemented by them. Our use of new and emerging AI capabilities, such as AI agents, may cause unanticipated effects, which may include the disruption of our business processes and procedures or the loss of intellectual property or critical data. Additionally, AI technology may also create ethical issues, which could impair market adoption of such technology and impair demand for our products and services. Furthermore, the United States and other countries may adopt laws and regulations related to AI. These laws and regulations could increase our compliance costs and limit the use of AI in the development of our products and services. Any failure or perceived failure to comply with these regulatory requirements could subject us to legal liabilities, damage our reputation, or otherwise have a material and adverse impact on our business.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Operational and Financial Risks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related to protection and enforcement of intellectual property rights.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success depends on the protection of our technology using patents, trade secrets, copyrights and other intellectual property rights. Infringement or misappropriation of our intellectual property rights, such as the manufacture or sale of equipment or spare parts that use our technology without authorization, could result in uncompensated lost market and revenue opportunities. Detecting and preventing misuse of our intellectual property is difficult and costly, and we cannot be certain that our protective measures will be successful. Our ability to enforce our intellectual property rights is subject to litigation risks and uncertainty as to the protection and enforceability of those rights in some countries. Enforcement efforts may be subject to claims that our rights are invalid or unenforceable and may result in counterclaims against us, which could have a negative impact on our business. If we are unable to enforce and protect intellectual property rights, or if they are circumvented, rendered obsolete, invalidated by the rapid pace of technological change, or stolen or misappropriated by employees or third parties, it could have an adverse impact on our competitive position and business. Changes in intellectual property laws or their interpretation may impact our ability to protect and assert our intellectual property rights, increase costs and uncertainties in the prosecution of patent applications or related enforcement actions and diminish the value and competitive advantage conferred by our intellectual property assets.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third parties have asserted, and may continue to assert, intellectual property claims against us and our products. Claims that our products infringe the rights of others, whether or not meritorious, can be expensive and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consuming to defend and resolve, and may divert the efforts and attention of management and personnel. The inability to obtain rights to use third-party intellectual property on commercially reasonable terms could have an adverse impact on our business. We may face claims based on the theft or unauthorized use or disclosure of third-party trade secrets and other confidential business information. Any of these incidents and claims could severely harm our business and reputation, result in significant expenses, harm our competitive position, and prevent us from selling certain products, all of which could have a material and adverse impact on our business and results of operations.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cybersecurity threats and incidents.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conduct of our business, we use information technology (IT) and operational technology (OT) systems, including systems owned and maintained by us or our third-party providers, to monitor and control our operations, and collect, transmit, store and otherwise process data, including confidential information and intellectual property belonging to us or our customers or other business partners, and personal information of individuals. These technologies are subject to disruptions, outages, failures and cybersecurity breaches or incidents arising from a variety of factors, and we and our third-party providers expect to continue to experience such incidents. Cybersecurity incidents may include physical attacks on computer systems or network infrastructure; employee or contractor error, misuse or unauthorized access; attempts to gain unauthorized access to systems or data; as well as sophisticated cyberattacks or advanced persistent threats, any of which may impact us directly or through our third-party providers and global supply chain. Threat actors may seek to manipulate our employees, suppliers, third-party providers or customers to gain access to our, our customers’ or business partners’ data. Cybersecurity attacks are increasing and attackers are increasingly organized and well-financed, or at times supported by state actors. Geopolitical tensions or conflicts may further increase cybersecurity risk. Threat actors’ techniques evolve rapidly and may increasingly incorporate new technologies, including AI and quantum computing. The emergence and maturation of AI capabilities, including ones involving large language models, may enable new or more effective methods of cyberattacks, including deepfake impersonation, phishing, social engineering or the automated detection and exploitation of previously unknown vulnerabilities. Vulnerabilities, technical errors and other risks may be introduced through the use of AI by us, our customers, suppliers and other business partners and third-party providers, or through the use of third-party hardware and software. Advances in quantum computing could undermine current encryption standards and allow threat actors to bypass security measures. Although we are not aware of any cybersecurity incidents impacting our IT or OT systems that have had a material impact on us to date, we continue to devote significant resources to network security, data encryption and other measures to protect our systems and data from unauthorized access or misuse, and we may be required to expend greater resources in the future. We may be unable to anticipate, prevent or remediate future incidents, and in some instances, we may be unaware of incidents or their scope, particularly as attackers may evade controls or remove forensic evidence and as automated attacks may operate at a speed and scale that compresses the time available to detect, contain and respond to them. Cybersecurity incidents may result in delays in our product development and delivery; disruptions to our manufacturing, communications and reporting of financial results; theft or misappropriation of intellectual property or critical data belonging to us or our customers; corruption, loss of, or inability to access (e.g., through ransomware or denial of service) confidential information and critical data; reputational damage; private claims, demands, litigation and regulatory inquiries, enforcement actions or other proceedings; diminution in the value of our investment in research, development and engineering; and increased costs associated with cybersecurity detection, prevention and remediation. We are subject to changing laws, regulations and contractual and other obligations concerning privacy, cybersecurity and data protection, including restrictions on cross-border data transfers and data localization as well as increasingly rigorous contractual provisions demanded by our customers and third-party providers. Compliance with these obligations may require significant expenditures, and any actual or alleged failure to comply could result in inquiries, enforcement actions and other proceedings by regulators or other third parties.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associated with business combinations, acquisitions, strategic investments and divestitures.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engage in acquisitions of or investments in companies, technologies or products in existing, related or new markets. Business combinations, acquisitions and investments involve numerous risks to our business, financial condition and operating results, including:</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inability to complete proposed transactions timely or at all due to failure to obtain regulatory or other approvals, including under global national security regimes that prohibit or restrict foreign investments in or acquisitions of local businesses, litigation or other disputes, and any ensuing obligation to pay a termination fee;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diversion of management’s attention and disruption of ongoing businesses;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realize expected revenues, gross and operating margins, net income and other returns from acquired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requirements imposed by regulators in connection with their transaction review, including post-closing investigations of non-notified transactions, which may include, among other things, divestitures and restrictions on the conduct of our existing business or the acquired business;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realize anticipated synergies due to ineffective integration of businesses, operations, systems, digital and physical security, technologies, products, employees, compliance programs, changes in laws or regulations, including tax laws, or other factors;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commercialize technologies from acquired businesses or developed through strategic investments;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dependence on unfamiliar supply chains or relatively small supply partners;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inability to capitalize on characteristics of new markets that may differ significantly from our existing markets and where competitors may have stronger market positions and customer relationships;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failure to retain and motivate key employees of acquired businesses;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impact of the announcement or consummation of a proposed transaction on relationships with third parties;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changes in our credit rating, which could adversely impact our access to and cost of capital;</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increases in debt obligations to finance a transaction, which increase interest expense, and reductions in cash balances, which reduce the availability of cash flow for other purposes, including share repurchases and dividends;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exposure to new operational risks, rules, regulations, worker expectations, customs and practices to the extent acquired businesses are located in regions where we have not historically operated;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challenges in managing new, more diverse and more widespread operations, projects and people;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inability to obtain and protect intellectual property rights in key technologies;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inadequacy or ineffectiveness of an acquired company’s internal financial controls, disclosure controls and procedures, cybersecurity, privacy policies and compliance programs, trade control processes or programs, or environmental, health and safety, anti-corruption, human resource or other policies or practices;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impairment of acquired intangible assets and goodwill due to changing business conditions, technological advancements or segment underperformance;</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litigation, government enforcement actions or claims associated with a proposed or completed transaction;</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unknown, underestimated, undisclosed or undetected commitments or liabilities, including potential intellectual property infringement claims, or non-compliance with laws, regulations or policies; and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inappropriate scale of acquired entities’ critical resources or facilities for business needs.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make investments in other companies, including companies formed as joint ventures, which may decline in value or not meet desired objectives. The success of these investments depends on various factors over which we may have limited or no control and, particularly with respect to joint ventures, requires ongoing and effective cooperation with partners. Legislative or regulatory changes, as well as global economic or political conditions, may restrict our ability to invest in certain countries or require regulatory approvals that we may not obtain or may impose significant conditions or obligations.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seek to divest businesses that no longer fit with our strategic plan. Divestitures involve additional risks and uncertainties, such as our ability to sell these businesses on acceptable terms and in a timely manner or at all, disruption to other parts of the businesses and distraction of management, diversion of internal resources away from acquisitions or other strategic initiatives, loss of key employees or customers, loss of access by retained business units to critical intellectual property or other assets transferred with the divested business, exposure to unanticipated liabilities or ongoing obligations to support the businesses following these divestitures and other adverse financial impacts.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The ability to attract, retain and motivate key employees is vital to our success.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competition for talent, the availability of qualified employees, immigration and work authorization requirements, challenges in hiring and integrating workers in different countries, the attractiveness of our compensation and benefit programs, our career growth and development opportunities and our employment policies. If we are unable to attract, retain and motivate qualified employees and leaders, we may be unable to fully capitalize on current and new market opportunities,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adversely impact our business and results of operations. The loss of knowledgeable and experienced employees may result in unexpected costs, reduced productivity or difficulties with respect to internal processes and controls.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operate in jurisdictions with complex and changing tax laws.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foreign jurisdictions. Significant judgment is required to determine and estimate worldwide tax liabilities. Our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 </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a number of enacted and proposed changes in the tax laws that could have a material impact on our provision for income taxes and effective tax rate. An increase in our provision for income taxes and effective tax rate could, in turn, have a material and adverse impact on our results of operations and financial condition. For example, various countries where we do business have enacted or plan to enact new tax laws to implement the global minimum tax regimes based on the Organization for Economic Cooperation and Development Base Erosion and Profit Shifting Project. The currently enacted global minimum tax laws materially increase our foreign taxes beginning in the first quarter of fiscal 2026. Additionally, the One Big Beautiful Bill Act enacted in the U.S. contains provisions that are designed to accelerate tax deductions, but that have had and may in the future have a detrimental impact on our ability to use certain deferred tax assets, including our corporate alternative minimum tax credit deferred tax asset. We continue to monitor developments and evaluate the impact, if any, of enacted and proposed changes in the tax laws on our results of operations and cash flows. The adoption and effective dates of changes in the tax laws vary by country and could increase tax complexity and uncertainty and may adversely affect our provision for income taxes in future years.</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been granted additional conditional reduced tax rates in Singapore that expire beginning in fiscal 2030. There is risk our conditional reduced tax rates may not be renewed.</w:t>
      </w:r>
    </w:p>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Consistent with the international nature of our business, we conduct certain manufacturing, supply chain and other operations in Asia, bringing these activities closer to customers and reducing operating costs. In some foreign jurisdictions, we must meet certain requirements to continue to qualify for tax incentives. There is no assurance we will be able to meet such requirements in the future to fully realize benefits from these incentives. Furthermore, the proposed plans to implement global minimum tax regimes could reduce or eliminate the benefits of our tax incentives.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examination by the U.S. Internal Revenue Service and other tax authorities, and from time to time amend previously filed tax returns. We regularly assess the likelihood of favorable or unfavorable outcomes resulting from these examinations and amendments to determine the adequacy of our provision for income taxes, which requires estimates and judgments. Although we believe our tax estimates are reasonable, there can be no assurance the tax authorities will agree with such estimates. We may have to engage in litigation to achieve the results reflected in the estimates, which may be time-consuming and expensive. There can be no assurance that we will be successful or that any final determination will not be materially different from the treatment reflected in our historical income tax provisions and effective tax rates.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Our indebtedness and debt covenants could adversely affect our financial condition and business.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26, 2026, we had $6.5 billion of senior unsecured notes outstanding and, pursuant to their terms, we may be required to offer to repurchase the notes at a price equal to 101% of the principal amount, plus accrued and unpaid interest, if we experience a change of control and a contemporaneous downgrade of the notes below investment grade. We also have revolving credit facilities that allow us to borrow up to approximately $4.0 billion. While no amounts were outstanding under these credit facilities as of July 26, 2026, we may borrow amounts in the future under these facilities or enter into new financing arrangements. Our ability to satisfy our debt obligations is dependent upon the results of our business operations and subject to other risks discussed in this section. If we fail to satisfy our debt obligations, or comply with financial and other debt covenants, we may be in default and any borrowings may become immediately due and payable, and such default may constitute a default under our other obligations. There can be no assurance that we would have sufficient financial resources or be able to arrange financing to repay any borrowings at such time. Significant changes in our credit rating, disruptions in the global financial markets, or incurrence of new or refinancing of existing indebtedness at higher interest rates could materially and adversely impact our access to and cost of capital for future financings and our financial condition. </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 xml:space="preserve">Our business depends on the successful implementation and proper functioning of information systems we use.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certain information systems, including enterprise resource planning, product research and development, financial reporting, information technology network management and telecommunications, which may be maintained by us or third-party vendors. Failures of these systems could disrupt our operations, impede our ability to timely and accurately process and report financial results, and adversely impact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periodically implement new or enhanced information systems, which requires significant personnel, training and financial resources, and entails operational risks. If the implementation or improvement of information systems is delayed or unsuccessful, we may not realize anticipated productivity improvements or cost efficiencies and may experience service interruptions and operational difficulties, which could result in quality issues, reputational harm, lost market and revenue opportunities and otherwise adversely affect our business, financial condition and results of operations.</w:t>
      </w:r>
    </w:p>
    <w:p>
      <w:pPr>
        <w:pStyle w:val="TextBody"/>
        <w:bidi w:val="0"/>
        <w:spacing w:lineRule="auto" w:line="288" w:before="18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We may incur impairment charges related to goodwill or long-lived assets.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the carrying value of an asset may not be recoverable. The review compares the fair value for each of our reporting units to its associated carrying value, including goodwill. Factors that could lead to impairment of goodwill and intangible assets include adverse industry or economic trends, reduced estimates of future cash flows, declines in our stock price, changes in our strategies or product portfolio and restructuring activities. Our valuation methodology for assessing impairment requires management to make judgments and assumptions based on historical experience and projections of future operating performance. We have recorded charges to earnings, and may in the future be required to record charges to earnings, when impairments of goodwill or intangible assets have been determined to exist.</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may not continue to declare cash dividends or repurchase our shares.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ability to continue to pay quarterly dividends and to repurchase our shares is subject to capital availability and periodic determinations by our Board of Directors that cash dividends and share repurchases are in the best interest of our stockholders and are in compliance with applicable laws and agreements. Future dividends and share repurchases may be affected by, among other factors, our cash flow; potential future capital requirements for investments, acquisitions, infrastructure projects and research and development; changes in applicable tax, corporate, or other laws; contractual restrictions, such as financial or operating covenants in our debt arrangements; and changes to our business model. Our dividend payments and share repurchases may change from time to time, and we cannot provide assurance that we will continue to declare dividends or repurchase shares in any particular amounts or at all. A reduction or suspension in our dividend payments or share repurchases could adversely affect our stock price.</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Legal, Compliance and Other Risks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related to legal proceedings, claims and investigations.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From time to time we are, and in the future may be, involved in legal proceedings or claims regarding patent infringement, trade secret misappropriation, other intellectual property rights, trade compliance, including import, export and customs, antitrust, anti-corruption, compliance with government contracting requirements, environmental regulations, cybersecurity, privacy, data protection, securities, contracts, product performance, product liability, unfair competition, employment, workplace safety and other matters. We may receive, and have received, inquiries, warrants, subpoenas, and other requests for information in connection with government investigations of potential or suspected violations of law or regulations by our company or our employees. We also on occasion receive notifications from customers who believe we owe them indemnification, product warranty or have other obligations related to claims made against such customers by third parties.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Legal proceedings, claims and government investigations, whether with or without merit, and internal investigations, have been and in the future may be time-consuming and expensive to prosecute, defend or conduct; divert management’s attention and our other resources; constrain our ability to sell our products and services; result in adverse judgments for damages, injunctive relief, penalties and fines; and negatively affect our business. We cannot predict the outcome of current or future legal proceedings, claims or investigations.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exposed to risks related to the global regulatory environment.</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the laws of the United States and multiple foreign jurisdictions and the rules and regulations of various governing bodies, including those related to financial and other disclosures, accounting standards, securities, corporate governance, public procurement and public funding, intellectual property, tax, trade (including import, export and customs regulations), antitrust, cybersecurity, environment, health and safety, employment, immigration and travel regulations, human rights, privacy, data protection and localization and anti-corruption. Changing, inconsistent or conflicting laws, rules and regulations, and ambiguities in their interpretation and application create uncertainty and challenges, and compliance may be onerous and expensive, divert management time and attention and otherwise adversely impact our business operations. Violations of these laws, rules and regulations could result in fines, criminal penalties, restrictions on our business, and damage to our reputation, and could have an adverse impact on our business operations,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Implementation and reporting on our sustainability strategies and targets could increase costs, and our inability to achieve them could have an adverse impact on our reputation and performance.</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periodically communicate our strategies and targets related to sustainability matters. These strategies and targets, and their underlying assumptions, reflect our current plans and aspirations, and we may be unable to achieve them. Our sustainability efforts may require significant expenditures and changes to our manufacturing, operations or equipment designs and processes. We may face changing expectations and requirements from customers, shareholders and regulators, including increasing customer demand for sustainable products. We are or may become subject to new laws and regulations, such as the State of California’s climate change disclosure rules, the European Union’s Corporate Sustainability Reporting Directive and International Sustainability Standards Board standards. Standards and processes for measuring and reporting greenhouse gas emissions and other sustainability metrics may change over time and result in inconsistent data, increase our costs, result in significant revisions to our strategies and targets or impact our ability to achieve them. Any failure or perceived failure to timely comply with or meet our sustainability requirements, expectations or targets, or a failure to realize the anticipated benefits of sustainability-related investments and technology innovations, could adversely impact demand for our products, subject us to significant costs and liabilities and reputational risks, and in turn adversely affect our business, financial condition and results of operations.</w:t>
      </w:r>
    </w:p>
    <w:p>
      <w:pPr>
        <w:pStyle w:val="TextBody"/>
        <w:bidi w:val="0"/>
        <w:spacing w:lineRule="auto" w:line="288" w:before="18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We are subject to risks associated with environmental, health and safety regulations.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subject to environmental, health and safety (EHS) regulations related to, among other things, the design, manufacture, sale, shipping, import, export and use of our products; the use, handling, discharge, recycling, transportation and disposal of hazardous materials used in our products or in producing our products; the operation of our facilities; and the use of our real property, including in connection with construction of infrastructure projects. The failure or inability to comply with existing or future EHS regulations could result in: significant remediation or other legal liabilities, penalties or fines; restrictions on the development, manufacture, sale, shipping, import, export or use of certain products; limitations on the operations of our facilities or use of our real property; and a decrease in the value of our real property. We could be required to alter our product design, manufacturing and operations and incur substantial expense to comply with EHS regulations, including reporting requirements. Any failure to comply with these regulations could subject us to significant costs and liabilities that could materially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w:t>
      </w:r>
      <w:r>
        <w:rPr>
          <w:color w:val="000000"/>
        </w:rPr>
        <w:t>    </w:t>
      </w:r>
      <w:r>
        <w:rPr>
          <w:rFonts w:ascii="Times New Roman;serif" w:hAnsi="Times New Roman;serif"/>
          <w:b/>
          <w:i/>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March 2025, our Board of Directors approved a common stock repurchase program authorizing $10.0 billion in repurchases, which supplemented the previous $10.0 billion authorization approved in March 2023. As of July 26, 2026, approximately $12.8 billion remained available for future stock repurchases under the repurchase program.</w:t>
      </w:r>
    </w:p>
    <w:tbl>
      <w:tblPr>
        <w:tblW w:w="10205" w:type="dxa"/>
        <w:jc w:val="left"/>
        <w:tblInd w:w="0" w:type="dxa"/>
        <w:tblLayout w:type="fixed"/>
        <w:tblCellMar>
          <w:top w:w="28" w:type="dxa"/>
          <w:left w:w="28" w:type="dxa"/>
          <w:bottom w:w="28" w:type="dxa"/>
          <w:right w:w="28" w:type="dxa"/>
        </w:tblCellMar>
      </w:tblPr>
      <w:tblGrid>
        <w:gridCol w:w="934"/>
        <w:gridCol w:w="817"/>
        <w:gridCol w:w="834"/>
        <w:gridCol w:w="460"/>
        <w:gridCol w:w="460"/>
        <w:gridCol w:w="461"/>
        <w:gridCol w:w="109"/>
        <w:gridCol w:w="109"/>
        <w:gridCol w:w="109"/>
        <w:gridCol w:w="211"/>
        <w:gridCol w:w="721"/>
        <w:gridCol w:w="109"/>
        <w:gridCol w:w="109"/>
        <w:gridCol w:w="109"/>
        <w:gridCol w:w="109"/>
        <w:gridCol w:w="233"/>
        <w:gridCol w:w="516"/>
        <w:gridCol w:w="122"/>
        <w:gridCol w:w="109"/>
        <w:gridCol w:w="109"/>
        <w:gridCol w:w="109"/>
        <w:gridCol w:w="540"/>
        <w:gridCol w:w="540"/>
        <w:gridCol w:w="541"/>
        <w:gridCol w:w="109"/>
        <w:gridCol w:w="109"/>
        <w:gridCol w:w="109"/>
        <w:gridCol w:w="271"/>
        <w:gridCol w:w="926"/>
        <w:gridCol w:w="201"/>
      </w:tblGrid>
      <w:tr>
        <w:trPr/>
        <w:tc>
          <w:tcPr>
            <w:tcW w:w="9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Paid</w:t>
            </w:r>
          </w:p>
          <w:p>
            <w:pPr>
              <w:pStyle w:val="TableContents"/>
              <w:bidi w:val="0"/>
              <w:spacing w:lineRule="auto" w:line="240" w:before="0" w:after="0"/>
              <w:jc w:val="center"/>
              <w:rPr/>
            </w:pPr>
            <w:r>
              <w:rPr>
                <w:rFonts w:ascii="Times New Roman;serif" w:hAnsi="Times New Roman;serif"/>
                <w:b/>
                <w:color w:val="000000"/>
                <w:sz w:val="16"/>
              </w:rPr>
              <w:t xml:space="preserve">per Share </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color w:val="000000"/>
              </w:rPr>
              <w:t> </w:t>
            </w:r>
            <w:r>
              <w:rPr>
                <w:rFonts w:ascii="Times New Roman;serif" w:hAnsi="Times New Roman;serif"/>
                <w:b/>
                <w:color w:val="000000"/>
                <w:sz w:val="16"/>
              </w:rPr>
              <w:t>Paid</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Publicly</w:t>
              <w:br/>
              <w:t>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40" w:before="0" w:after="0"/>
              <w:jc w:val="center"/>
              <w:rPr/>
            </w:pPr>
            <w:r>
              <w:rPr>
                <w:rFonts w:ascii="Times New Roman;serif" w:hAnsi="Times New Roman;serif"/>
                <w:b/>
                <w:color w:val="000000"/>
                <w:sz w:val="16"/>
              </w:rPr>
              <w:t>the Program</w:t>
            </w:r>
            <w:r>
              <w:rPr>
                <w:rFonts w:ascii="Times New Roman;serif" w:hAnsi="Times New Roman;serif"/>
                <w:b/>
                <w:color w:val="000000"/>
                <w:sz w:val="10"/>
              </w:rPr>
              <w:t>*</w:t>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 #1</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2026 to May 24, 2026)</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 #2</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25, 2026 to June 21, 2026)</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 #3</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22, 2026 to July 26, 2026)</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0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Amounts include the 1% surcharge on stock repurchases under the Inflation Reduction Act’s excise tax. This excise tax is recorded in equity and reduces the amount available under the repurchase program,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ind w:left="0" w:right="0" w:firstLine="17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26, 2026, no director or officer, as defined in Rule 16a-1(f), adopted or terminated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264"/>
        <w:gridCol w:w="231"/>
        <w:gridCol w:w="234"/>
        <w:gridCol w:w="1834"/>
        <w:gridCol w:w="1834"/>
        <w:gridCol w:w="1849"/>
        <w:gridCol w:w="109"/>
        <w:gridCol w:w="109"/>
        <w:gridCol w:w="109"/>
        <w:gridCol w:w="170"/>
        <w:gridCol w:w="170"/>
        <w:gridCol w:w="171"/>
        <w:gridCol w:w="109"/>
        <w:gridCol w:w="109"/>
        <w:gridCol w:w="109"/>
        <w:gridCol w:w="162"/>
        <w:gridCol w:w="162"/>
        <w:gridCol w:w="163"/>
        <w:gridCol w:w="109"/>
        <w:gridCol w:w="109"/>
        <w:gridCol w:w="109"/>
        <w:gridCol w:w="310"/>
        <w:gridCol w:w="310"/>
        <w:gridCol w:w="311"/>
        <w:gridCol w:w="109"/>
        <w:gridCol w:w="109"/>
        <w:gridCol w:w="109"/>
        <w:gridCol w:w="210"/>
        <w:gridCol w:w="210"/>
        <w:gridCol w:w="302"/>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_amatq32026.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_amatq32026.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_amatq32026for10-q.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_amatq32026for10-q.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Filed herewith.</w:t>
      </w:r>
    </w:p>
    <w:p>
      <w:pPr>
        <w:pStyle w:val="TextBody"/>
        <w:bidi w:val="0"/>
        <w:spacing w:lineRule="auto" w:line="268" w:before="0" w:after="0"/>
        <w:ind w:left="0" w:right="0" w:hanging="450"/>
        <w:jc w:val="left"/>
        <w:rPr>
          <w:color w:val="000000"/>
        </w:rPr>
      </w:pPr>
      <w:r>
        <w:rPr>
          <w:color w:val="000000"/>
        </w:rPr>
        <w:t>‡     </w:t>
      </w: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eb957240b034c6db2a10fd4a9057d2f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00" w:after="283"/>
        <w:ind w:left="0" w:right="0" w:firstLine="495"/>
        <w:jc w:val="both"/>
        <w:rPr/>
      </w:pPr>
      <w:r>
        <w:rPr/>
      </w:r>
    </w:p>
    <w:p>
      <w:pPr>
        <w:pStyle w:val="TextBody"/>
        <w:bidi w:val="0"/>
        <w:spacing w:before="100" w:after="283"/>
        <w:ind w:left="0" w:right="0" w:firstLine="495"/>
        <w:jc w:val="both"/>
        <w:rPr/>
      </w:pPr>
      <w:r>
        <w:rPr/>
      </w:r>
    </w:p>
    <w:p>
      <w:pPr>
        <w:pStyle w:val="TextBody"/>
        <w:bidi w:val="0"/>
        <w:spacing w:lineRule="auto" w:line="288" w:before="0" w:after="0"/>
        <w:jc w:val="left"/>
        <w:rPr>
          <w:color w:val="000000"/>
        </w:rPr>
      </w:pPr>
      <w:r>
        <w:rPr>
          <w:color w:val="000000"/>
        </w:rPr>
        <w:t> </w:t>
      </w:r>
    </w:p>
    <w:tbl>
      <w:tblPr>
        <w:tblW w:w="5803" w:type="dxa"/>
        <w:jc w:val="left"/>
        <w:tblInd w:w="0" w:type="dxa"/>
        <w:tblLayout w:type="fixed"/>
        <w:tblCellMar>
          <w:top w:w="28" w:type="dxa"/>
          <w:left w:w="28" w:type="dxa"/>
          <w:bottom w:w="28" w:type="dxa"/>
          <w:right w:w="28" w:type="dxa"/>
        </w:tblCellMar>
      </w:tblPr>
      <w:tblGrid>
        <w:gridCol w:w="531"/>
        <w:gridCol w:w="468"/>
        <w:gridCol w:w="470"/>
        <w:gridCol w:w="134"/>
        <w:gridCol w:w="134"/>
        <w:gridCol w:w="136"/>
        <w:gridCol w:w="1150"/>
        <w:gridCol w:w="1150"/>
        <w:gridCol w:w="163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APPLIED MATERIALS, INC.</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BRICE HILL</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Brice Hill</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Chief Financial Officer</w:t>
              <w:br/>
              <w:t>(Principal Financial Officer)</w:t>
            </w:r>
          </w:p>
        </w:tc>
      </w:tr>
    </w:tbl>
    <w:tbl>
      <w:tblPr>
        <w:tblW w:w="4527" w:type="dxa"/>
        <w:jc w:val="right"/>
        <w:tblInd w:w="0" w:type="dxa"/>
        <w:tblLayout w:type="fixed"/>
        <w:tblCellMar>
          <w:top w:w="28" w:type="dxa"/>
          <w:left w:w="28" w:type="dxa"/>
          <w:bottom w:w="28" w:type="dxa"/>
          <w:right w:w="28" w:type="dxa"/>
        </w:tblCellMar>
      </w:tblPr>
      <w:tblGrid>
        <w:gridCol w:w="531"/>
        <w:gridCol w:w="468"/>
        <w:gridCol w:w="470"/>
        <w:gridCol w:w="134"/>
        <w:gridCol w:w="134"/>
        <w:gridCol w:w="136"/>
        <w:gridCol w:w="777"/>
        <w:gridCol w:w="777"/>
        <w:gridCol w:w="110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SANDERS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Adam Sanders</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Vice President,</w:t>
              <w:br/>
              <w:t xml:space="preserve">Corporate Controller and </w:t>
              <w:br/>
              <w:t>Chief Accounting Officer</w:t>
              <w:br/>
              <w:t>(Principal Accounting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Gary E. Dickerson, certify that: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Applied Materials, Inc.;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20, 2026 </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2925" w:type="dxa"/>
        <w:jc w:val="left"/>
        <w:tblInd w:w="0" w:type="dxa"/>
        <w:tblLayout w:type="fixed"/>
        <w:tblCellMar>
          <w:top w:w="28" w:type="dxa"/>
          <w:left w:w="28" w:type="dxa"/>
          <w:bottom w:w="28" w:type="dxa"/>
          <w:right w:w="28" w:type="dxa"/>
        </w:tblCellMar>
      </w:tblPr>
      <w:tblGrid>
        <w:gridCol w:w="937"/>
        <w:gridCol w:w="823"/>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E. DICKERSON</w:t>
            </w:r>
          </w:p>
        </w:tc>
      </w:tr>
      <w:tr>
        <w:trPr/>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E. Dickerson</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Brice Hill, certify that: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Applied Materials, Inc.;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20, 2026 </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3855" w:type="dxa"/>
        <w:jc w:val="left"/>
        <w:tblInd w:w="0" w:type="dxa"/>
        <w:tblLayout w:type="fixed"/>
        <w:tblCellMar>
          <w:top w:w="28" w:type="dxa"/>
          <w:left w:w="28" w:type="dxa"/>
          <w:bottom w:w="28" w:type="dxa"/>
          <w:right w:w="28" w:type="dxa"/>
        </w:tblCellMar>
      </w:tblPr>
      <w:tblGrid>
        <w:gridCol w:w="1231"/>
        <w:gridCol w:w="1084"/>
        <w:gridCol w:w="1540"/>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BRICE HILL</w:t>
            </w:r>
          </w:p>
        </w:tc>
      </w:tr>
      <w:tr>
        <w:trPr/>
        <w:tc>
          <w:tcPr>
            <w:tcW w:w="3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Brice Hill</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SECTION 906 CERTIFICATION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Quarterly Report on Form 10-Q of Applied Materials, Inc. for the period ended July 26, 2026, I, Gary E. Dickerson, President, Chief Executive Officer of Applied Materials, Inc., hereby certify pursuant to 18 U.S.C. Section 1350, as adopted pursuant to Section 906 of the Sarbanes-Oxley Act of 2002, that: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this Form 10-Q for the period ended July 26, 2026 fully complies with the requirements of Section 13(a) or 15(d) of the Securities Exchange Act of 1934, as amended; and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this Form 10-Q for the period ended July 26, 2026 fairly presents, in all material respects, the financial condition and results of operations of Applied Materials, Inc. for the periods presented therein. </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20, 2026 </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2925" w:type="dxa"/>
        <w:jc w:val="left"/>
        <w:tblInd w:w="0" w:type="dxa"/>
        <w:tblLayout w:type="fixed"/>
        <w:tblCellMar>
          <w:top w:w="28" w:type="dxa"/>
          <w:left w:w="28" w:type="dxa"/>
          <w:bottom w:w="28" w:type="dxa"/>
          <w:right w:w="28" w:type="dxa"/>
        </w:tblCellMar>
      </w:tblPr>
      <w:tblGrid>
        <w:gridCol w:w="937"/>
        <w:gridCol w:w="823"/>
        <w:gridCol w:w="1165"/>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E. DICKERSON</w:t>
            </w:r>
          </w:p>
        </w:tc>
      </w:tr>
      <w:tr>
        <w:trPr/>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E. Dickerson</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SECTION 906 CERTIFICATION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this Quarterly Report on Form 10-Q of Applied Materials, Inc. for the period ended July 26, 2026, I, Brice Hill, Senior Vice President, Chief Financial Officer of Applied Materials, Inc., hereby certify pursuant to 18 U.S.C. Section 1350, as adopted pursuant to Section 906 of the Sarbanes-Oxley Act of 2002, that: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1. this Form 10-Q for the period ended July 26, 2026 fully complies with the requirements of Section 13(a) or 15(d) of the Securities Exchange Act of 1934, as amended; and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this Form 10-Q for the period ended July 26, 2026 fairly presents, in all material respects, the financial condition and results of operations of Applied Materials, Inc. for the periods presented therein.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20, 2026 </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3855" w:type="dxa"/>
        <w:jc w:val="left"/>
        <w:tblInd w:w="0" w:type="dxa"/>
        <w:tblLayout w:type="fixed"/>
        <w:tblCellMar>
          <w:top w:w="28" w:type="dxa"/>
          <w:left w:w="28" w:type="dxa"/>
          <w:bottom w:w="28" w:type="dxa"/>
          <w:right w:w="28" w:type="dxa"/>
        </w:tblCellMar>
      </w:tblPr>
      <w:tblGrid>
        <w:gridCol w:w="1231"/>
        <w:gridCol w:w="1084"/>
        <w:gridCol w:w="1540"/>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BRICE HILL</w:t>
            </w:r>
          </w:p>
        </w:tc>
      </w:tr>
      <w:tr>
        <w:trPr/>
        <w:tc>
          <w:tcPr>
            <w:tcW w:w="3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Brice Hill</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28345</Words>
  <Characters>157386</Characters>
  <CharactersWithSpaces>183868</CharactersWithSpaces>
  <Paragraphs>3929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